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285A1" w14:textId="77777777" w:rsidR="00D72017" w:rsidRPr="00381077" w:rsidRDefault="00D72017">
      <w:pPr>
        <w:rPr>
          <w:rFonts w:ascii="Tahoma" w:hAnsi="Tahoma" w:cs="Tahoma"/>
        </w:rPr>
      </w:pPr>
    </w:p>
    <w:tbl>
      <w:tblPr>
        <w:tblpPr w:leftFromText="141" w:rightFromText="141" w:vertAnchor="text" w:horzAnchor="page" w:tblpX="391" w:tblpY="766"/>
        <w:tblOverlap w:val="never"/>
        <w:tblW w:w="18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tblGrid>
      <w:tr w:rsidR="005F07BC" w:rsidRPr="00381077" w14:paraId="395A0E5B" w14:textId="77777777" w:rsidTr="02F55C5F">
        <w:trPr>
          <w:trHeight w:val="207"/>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A3CCB8F" w14:textId="3CF99B82" w:rsidR="005F07BC" w:rsidRPr="00381077" w:rsidRDefault="001A7186" w:rsidP="00381077">
            <w:pPr>
              <w:pStyle w:val="Nagwek21"/>
              <w:tabs>
                <w:tab w:val="clear" w:pos="576"/>
              </w:tabs>
              <w:spacing w:line="276" w:lineRule="auto"/>
              <w:ind w:left="62" w:firstLine="0"/>
              <w:rPr>
                <w:rFonts w:ascii="Tahoma" w:hAnsi="Tahoma" w:cs="Tahoma"/>
                <w:lang w:val="pl-PL"/>
              </w:rPr>
            </w:pPr>
            <w:r w:rsidRPr="00381077">
              <w:rPr>
                <w:rFonts w:ascii="Tahoma" w:hAnsi="Tahoma" w:cs="Tahoma"/>
                <w:lang w:val="pl-PL"/>
              </w:rPr>
              <w:t>data:</w:t>
            </w:r>
            <w:r w:rsidRPr="00381077">
              <w:rPr>
                <w:rFonts w:ascii="Tahoma" w:hAnsi="Tahoma" w:cs="Tahoma"/>
              </w:rPr>
              <w:br/>
            </w:r>
            <w:r w:rsidR="00381077">
              <w:rPr>
                <w:rFonts w:ascii="Tahoma" w:hAnsi="Tahoma" w:cs="Tahoma"/>
                <w:sz w:val="16"/>
                <w:szCs w:val="16"/>
                <w:lang w:val="pl-PL"/>
              </w:rPr>
              <w:t>23</w:t>
            </w:r>
            <w:r w:rsidR="00D72017" w:rsidRPr="00381077">
              <w:rPr>
                <w:rFonts w:ascii="Tahoma" w:hAnsi="Tahoma" w:cs="Tahoma"/>
                <w:sz w:val="16"/>
                <w:szCs w:val="16"/>
                <w:lang w:val="pl-PL"/>
              </w:rPr>
              <w:t xml:space="preserve"> </w:t>
            </w:r>
            <w:r w:rsidR="1CEAC326" w:rsidRPr="00381077">
              <w:rPr>
                <w:rFonts w:ascii="Tahoma" w:hAnsi="Tahoma" w:cs="Tahoma"/>
                <w:sz w:val="16"/>
                <w:szCs w:val="16"/>
                <w:lang w:val="pl-PL"/>
              </w:rPr>
              <w:t xml:space="preserve">kwietnia </w:t>
            </w:r>
            <w:r w:rsidR="00D72017" w:rsidRPr="00381077">
              <w:rPr>
                <w:rFonts w:ascii="Tahoma" w:hAnsi="Tahoma" w:cs="Tahoma"/>
                <w:sz w:val="16"/>
                <w:szCs w:val="16"/>
                <w:lang w:val="pl-PL"/>
              </w:rPr>
              <w:t>2025 r.</w:t>
            </w:r>
          </w:p>
        </w:tc>
      </w:tr>
      <w:tr w:rsidR="005F07BC" w:rsidRPr="00381077" w14:paraId="774417E1" w14:textId="77777777" w:rsidTr="02F55C5F">
        <w:trPr>
          <w:trHeight w:val="237"/>
        </w:trPr>
        <w:tc>
          <w:tcPr>
            <w:tcW w:w="1843" w:type="dxa"/>
            <w:tcBorders>
              <w:top w:val="nil"/>
              <w:left w:val="nil"/>
              <w:bottom w:val="nil"/>
              <w:right w:val="nil"/>
            </w:tcBorders>
            <w:shd w:val="clear" w:color="auto" w:fill="auto"/>
            <w:tcMar>
              <w:top w:w="80" w:type="dxa"/>
              <w:left w:w="656" w:type="dxa"/>
              <w:bottom w:w="80" w:type="dxa"/>
              <w:right w:w="80" w:type="dxa"/>
            </w:tcMar>
            <w:vAlign w:val="bottom"/>
          </w:tcPr>
          <w:p w14:paraId="27D6D207" w14:textId="7A6DB566" w:rsidR="005F07BC" w:rsidRPr="00381077" w:rsidRDefault="008F46B0" w:rsidP="00D72017">
            <w:pPr>
              <w:pStyle w:val="Nagwek21"/>
              <w:tabs>
                <w:tab w:val="clear" w:pos="576"/>
              </w:tabs>
              <w:spacing w:line="276" w:lineRule="auto"/>
              <w:ind w:left="-514" w:firstLine="0"/>
              <w:rPr>
                <w:rFonts w:ascii="Tahoma" w:hAnsi="Tahoma" w:cs="Tahoma"/>
                <w:lang w:val="pl-PL"/>
              </w:rPr>
            </w:pPr>
            <w:r w:rsidRPr="00381077">
              <w:rPr>
                <w:rFonts w:ascii="Tahoma" w:hAnsi="Tahoma" w:cs="Tahoma"/>
                <w:lang w:val="pl-PL"/>
              </w:rPr>
              <w:t>informacje</w:t>
            </w:r>
            <w:r w:rsidR="001A7186" w:rsidRPr="00381077">
              <w:rPr>
                <w:rFonts w:ascii="Tahoma" w:hAnsi="Tahoma" w:cs="Tahoma"/>
                <w:lang w:val="pl-PL"/>
              </w:rPr>
              <w:t xml:space="preserve"> dodatkowe:</w:t>
            </w:r>
            <w:r w:rsidR="00D72017" w:rsidRPr="00381077">
              <w:rPr>
                <w:rFonts w:ascii="Tahoma" w:hAnsi="Tahoma" w:cs="Tahoma"/>
                <w:lang w:val="pl-PL"/>
              </w:rPr>
              <w:br/>
            </w:r>
            <w:r w:rsidR="00D72017" w:rsidRPr="00381077">
              <w:rPr>
                <w:rFonts w:ascii="Tahoma" w:hAnsi="Tahoma" w:cs="Tahoma"/>
                <w:sz w:val="16"/>
                <w:szCs w:val="16"/>
                <w:lang w:val="pl-PL"/>
              </w:rPr>
              <w:t>Mateusz Żydek</w:t>
            </w:r>
          </w:p>
        </w:tc>
      </w:tr>
      <w:tr w:rsidR="005F07BC" w:rsidRPr="00381077" w14:paraId="528A8D15" w14:textId="77777777" w:rsidTr="02F55C5F">
        <w:trPr>
          <w:trHeight w:val="15"/>
        </w:trPr>
        <w:tc>
          <w:tcPr>
            <w:tcW w:w="1843" w:type="dxa"/>
            <w:tcBorders>
              <w:top w:val="nil"/>
              <w:left w:val="nil"/>
              <w:bottom w:val="nil"/>
              <w:right w:val="nil"/>
            </w:tcBorders>
            <w:shd w:val="clear" w:color="auto" w:fill="auto"/>
            <w:tcMar>
              <w:top w:w="80" w:type="dxa"/>
              <w:left w:w="656" w:type="dxa"/>
              <w:bottom w:w="80" w:type="dxa"/>
              <w:right w:w="80" w:type="dxa"/>
            </w:tcMar>
          </w:tcPr>
          <w:p w14:paraId="6D4BBF7B" w14:textId="77777777" w:rsidR="005F07BC" w:rsidRPr="00381077" w:rsidRDefault="001A7186" w:rsidP="00D72017">
            <w:pPr>
              <w:pStyle w:val="Nagwek21"/>
              <w:spacing w:line="276" w:lineRule="auto"/>
              <w:ind w:left="-514" w:firstLine="0"/>
              <w:rPr>
                <w:rFonts w:ascii="Tahoma" w:hAnsi="Tahoma" w:cs="Tahoma"/>
                <w:lang w:val="pl-PL"/>
              </w:rPr>
            </w:pPr>
            <w:r w:rsidRPr="00381077">
              <w:rPr>
                <w:rFonts w:ascii="Tahoma" w:hAnsi="Tahoma" w:cs="Tahoma"/>
                <w:lang w:val="pl-PL"/>
              </w:rPr>
              <w:t>telefon:</w:t>
            </w:r>
          </w:p>
          <w:p w14:paraId="329D2B15" w14:textId="31E12507" w:rsidR="00D72017" w:rsidRPr="00381077" w:rsidRDefault="2A2FC801" w:rsidP="00D72017">
            <w:pPr>
              <w:pStyle w:val="Normalny1"/>
              <w:spacing w:line="240" w:lineRule="auto"/>
              <w:ind w:left="-514"/>
              <w:rPr>
                <w:lang w:val="pl-PL"/>
              </w:rPr>
            </w:pPr>
            <w:r w:rsidRPr="00381077">
              <w:rPr>
                <w:sz w:val="16"/>
                <w:szCs w:val="16"/>
                <w:lang w:val="pl-PL"/>
              </w:rPr>
              <w:t>+ 48 665 305 902</w:t>
            </w:r>
          </w:p>
        </w:tc>
      </w:tr>
      <w:tr w:rsidR="00D72017" w:rsidRPr="00381077" w14:paraId="02F43293" w14:textId="77777777" w:rsidTr="02F55C5F">
        <w:trPr>
          <w:trHeight w:val="15"/>
        </w:trPr>
        <w:tc>
          <w:tcPr>
            <w:tcW w:w="1843" w:type="dxa"/>
            <w:tcBorders>
              <w:top w:val="nil"/>
              <w:left w:val="nil"/>
              <w:bottom w:val="nil"/>
              <w:right w:val="nil"/>
            </w:tcBorders>
            <w:shd w:val="clear" w:color="auto" w:fill="auto"/>
            <w:tcMar>
              <w:top w:w="80" w:type="dxa"/>
              <w:left w:w="656" w:type="dxa"/>
              <w:bottom w:w="80" w:type="dxa"/>
              <w:right w:w="80" w:type="dxa"/>
            </w:tcMar>
          </w:tcPr>
          <w:p w14:paraId="0832903A" w14:textId="77777777" w:rsidR="00D72017" w:rsidRPr="00381077" w:rsidRDefault="00D72017" w:rsidP="00D72017">
            <w:pPr>
              <w:pStyle w:val="Normalny1"/>
              <w:spacing w:line="240" w:lineRule="auto"/>
              <w:ind w:left="-514"/>
              <w:rPr>
                <w:sz w:val="12"/>
                <w:szCs w:val="16"/>
              </w:rPr>
            </w:pPr>
            <w:r w:rsidRPr="00381077">
              <w:rPr>
                <w:sz w:val="12"/>
                <w:szCs w:val="16"/>
              </w:rPr>
              <w:t>e-mail:</w:t>
            </w:r>
          </w:p>
          <w:p w14:paraId="40EDEEF0" w14:textId="73B6C15D" w:rsidR="00D72017" w:rsidRPr="00381077" w:rsidRDefault="00D72017" w:rsidP="00D72017">
            <w:pPr>
              <w:pStyle w:val="Normalny1"/>
              <w:spacing w:line="240" w:lineRule="auto"/>
              <w:ind w:left="-514"/>
            </w:pPr>
            <w:proofErr w:type="spellStart"/>
            <w:r w:rsidRPr="00381077">
              <w:rPr>
                <w:sz w:val="16"/>
                <w:szCs w:val="16"/>
              </w:rPr>
              <w:t>mateusz.zydek</w:t>
            </w:r>
            <w:proofErr w:type="spellEnd"/>
            <w:r w:rsidRPr="00381077">
              <w:rPr>
                <w:sz w:val="16"/>
                <w:szCs w:val="16"/>
              </w:rPr>
              <w:t>@</w:t>
            </w:r>
            <w:r w:rsidRPr="00381077">
              <w:rPr>
                <w:sz w:val="16"/>
                <w:szCs w:val="16"/>
              </w:rPr>
              <w:br/>
              <w:t>randstad.pl</w:t>
            </w:r>
          </w:p>
        </w:tc>
      </w:tr>
    </w:tbl>
    <w:p w14:paraId="24F427E2" w14:textId="77777777" w:rsidR="005F07BC" w:rsidRPr="00381077" w:rsidRDefault="005F07BC" w:rsidP="00C73E88">
      <w:pPr>
        <w:pStyle w:val="Tre"/>
        <w:widowControl w:val="0"/>
        <w:spacing w:line="276" w:lineRule="auto"/>
        <w:ind w:left="216" w:hanging="216"/>
        <w:rPr>
          <w:rFonts w:ascii="Tahoma" w:hAnsi="Tahoma" w:cs="Tahoma"/>
        </w:rPr>
      </w:pPr>
    </w:p>
    <w:p w14:paraId="45AABE00" w14:textId="77777777" w:rsidR="005F07BC" w:rsidRPr="00381077" w:rsidRDefault="005F07BC" w:rsidP="00C73E88">
      <w:pPr>
        <w:pStyle w:val="TreA"/>
        <w:widowControl w:val="0"/>
        <w:spacing w:line="276" w:lineRule="auto"/>
        <w:ind w:left="108" w:hanging="108"/>
        <w:rPr>
          <w:rFonts w:ascii="Tahoma" w:hAnsi="Tahoma" w:cs="Tahoma"/>
        </w:rPr>
      </w:pPr>
    </w:p>
    <w:p w14:paraId="47B043EC" w14:textId="0DD17660" w:rsidR="00381077" w:rsidRDefault="00381077" w:rsidP="00381077">
      <w:pPr>
        <w:spacing w:line="276" w:lineRule="auto"/>
        <w:rPr>
          <w:rFonts w:ascii="Tahoma" w:eastAsia="Tahoma" w:hAnsi="Tahoma" w:cs="Tahoma"/>
          <w:color w:val="0070C0"/>
          <w:sz w:val="32"/>
          <w:szCs w:val="32"/>
          <w:u w:color="000000"/>
          <w:lang w:val="pl-PL"/>
        </w:rPr>
      </w:pPr>
      <w:r w:rsidRPr="00381077">
        <w:rPr>
          <w:rFonts w:ascii="Tahoma" w:eastAsia="Tahoma" w:hAnsi="Tahoma" w:cs="Tahoma"/>
          <w:color w:val="0070C0"/>
          <w:sz w:val="32"/>
          <w:szCs w:val="32"/>
          <w:u w:color="000000"/>
          <w:lang w:val="pl-PL"/>
        </w:rPr>
        <w:t xml:space="preserve">Atrakcyjny pracodawca = atrakcyjne wynagrodzenie </w:t>
      </w:r>
      <w:r>
        <w:rPr>
          <w:rFonts w:ascii="Tahoma" w:eastAsia="Tahoma" w:hAnsi="Tahoma" w:cs="Tahoma"/>
          <w:color w:val="0070C0"/>
          <w:sz w:val="32"/>
          <w:szCs w:val="32"/>
          <w:u w:color="000000"/>
          <w:lang w:val="pl-PL"/>
        </w:rPr>
        <w:br/>
      </w:r>
      <w:r w:rsidRPr="00381077">
        <w:rPr>
          <w:rFonts w:ascii="Tahoma" w:eastAsia="Tahoma" w:hAnsi="Tahoma" w:cs="Tahoma"/>
          <w:color w:val="0070C0"/>
          <w:sz w:val="32"/>
          <w:szCs w:val="32"/>
          <w:u w:color="000000"/>
          <w:lang w:val="pl-PL"/>
        </w:rPr>
        <w:t xml:space="preserve">– twierdzi 71 proc. Polaków. Im jesteśmy starsi, tym bardziej liczy się dla nas wysokość pensji, ale </w:t>
      </w:r>
      <w:proofErr w:type="spellStart"/>
      <w:r w:rsidRPr="00381077">
        <w:rPr>
          <w:rFonts w:ascii="Tahoma" w:eastAsia="Tahoma" w:hAnsi="Tahoma" w:cs="Tahoma"/>
          <w:color w:val="0070C0"/>
          <w:sz w:val="32"/>
          <w:szCs w:val="32"/>
          <w:u w:color="000000"/>
          <w:lang w:val="pl-PL"/>
        </w:rPr>
        <w:t>Zetki</w:t>
      </w:r>
      <w:proofErr w:type="spellEnd"/>
      <w:r w:rsidRPr="00381077">
        <w:rPr>
          <w:rFonts w:ascii="Tahoma" w:eastAsia="Tahoma" w:hAnsi="Tahoma" w:cs="Tahoma"/>
          <w:color w:val="0070C0"/>
          <w:sz w:val="32"/>
          <w:szCs w:val="32"/>
          <w:u w:color="000000"/>
          <w:lang w:val="pl-PL"/>
        </w:rPr>
        <w:t xml:space="preserve"> stawiają na coś innego</w:t>
      </w:r>
    </w:p>
    <w:p w14:paraId="2A785417" w14:textId="025E4ADE" w:rsidR="00A955C1" w:rsidRPr="00381077" w:rsidRDefault="00A955C1" w:rsidP="59EC1D8B">
      <w:pPr>
        <w:spacing w:line="276" w:lineRule="auto"/>
        <w:jc w:val="both"/>
        <w:rPr>
          <w:rFonts w:ascii="Tahoma" w:hAnsi="Tahoma" w:cs="Tahoma"/>
          <w:b/>
          <w:bCs/>
          <w:sz w:val="20"/>
          <w:szCs w:val="20"/>
          <w:lang w:val="pl-PL"/>
        </w:rPr>
      </w:pPr>
    </w:p>
    <w:p w14:paraId="60F2FFD2" w14:textId="77777777" w:rsidR="00381077" w:rsidRDefault="00381077" w:rsidP="007C6562">
      <w:pPr>
        <w:spacing w:beforeAutospacing="1" w:afterAutospacing="1"/>
        <w:rPr>
          <w:rFonts w:ascii="Tahoma" w:hAnsi="Tahoma" w:cs="Tahoma"/>
          <w:b/>
          <w:bCs/>
          <w:sz w:val="20"/>
          <w:szCs w:val="20"/>
          <w:lang w:val="pl-PL"/>
        </w:rPr>
      </w:pPr>
      <w:r w:rsidRPr="00381077">
        <w:rPr>
          <w:rFonts w:ascii="Tahoma" w:hAnsi="Tahoma" w:cs="Tahoma"/>
          <w:b/>
          <w:bCs/>
          <w:sz w:val="20"/>
          <w:szCs w:val="20"/>
          <w:lang w:val="pl-PL"/>
        </w:rPr>
        <w:t xml:space="preserve">Trójka kluczowych czynników decydujących o atrakcyjności miejsca pracy trzyma się mocno: na szczycie wciąż jest wynagrodzenie, a zaraz za nim znalazły się pozytywna atmosfera w miejscu pracy i gwarancja stabilnego zatrudnienia. Na wysokiej, czwartej pozycji uplasowała się równowaga między życiem zawodowym a prywatnym, której znaczenie wzrosło od zeszłego roku. W wynikach tegorocznej edycji badania </w:t>
      </w:r>
      <w:proofErr w:type="spellStart"/>
      <w:r w:rsidRPr="00381077">
        <w:rPr>
          <w:rFonts w:ascii="Tahoma" w:hAnsi="Tahoma" w:cs="Tahoma"/>
          <w:b/>
          <w:bCs/>
          <w:sz w:val="20"/>
          <w:szCs w:val="20"/>
          <w:lang w:val="pl-PL"/>
        </w:rPr>
        <w:t>Randstad</w:t>
      </w:r>
      <w:proofErr w:type="spellEnd"/>
      <w:r w:rsidRPr="00381077">
        <w:rPr>
          <w:rFonts w:ascii="Tahoma" w:hAnsi="Tahoma" w:cs="Tahoma"/>
          <w:b/>
          <w:bCs/>
          <w:sz w:val="20"/>
          <w:szCs w:val="20"/>
          <w:lang w:val="pl-PL"/>
        </w:rPr>
        <w:t xml:space="preserve"> </w:t>
      </w:r>
      <w:proofErr w:type="spellStart"/>
      <w:r w:rsidRPr="00381077">
        <w:rPr>
          <w:rFonts w:ascii="Tahoma" w:hAnsi="Tahoma" w:cs="Tahoma"/>
          <w:b/>
          <w:bCs/>
          <w:sz w:val="20"/>
          <w:szCs w:val="20"/>
          <w:lang w:val="pl-PL"/>
        </w:rPr>
        <w:t>Employer</w:t>
      </w:r>
      <w:proofErr w:type="spellEnd"/>
      <w:r w:rsidRPr="00381077">
        <w:rPr>
          <w:rFonts w:ascii="Tahoma" w:hAnsi="Tahoma" w:cs="Tahoma"/>
          <w:b/>
          <w:bCs/>
          <w:sz w:val="20"/>
          <w:szCs w:val="20"/>
          <w:lang w:val="pl-PL"/>
        </w:rPr>
        <w:t xml:space="preserve"> Brand </w:t>
      </w:r>
      <w:proofErr w:type="spellStart"/>
      <w:r w:rsidRPr="00381077">
        <w:rPr>
          <w:rFonts w:ascii="Tahoma" w:hAnsi="Tahoma" w:cs="Tahoma"/>
          <w:b/>
          <w:bCs/>
          <w:sz w:val="20"/>
          <w:szCs w:val="20"/>
          <w:lang w:val="pl-PL"/>
        </w:rPr>
        <w:t>Research</w:t>
      </w:r>
      <w:proofErr w:type="spellEnd"/>
      <w:r w:rsidRPr="00381077">
        <w:rPr>
          <w:rFonts w:ascii="Tahoma" w:hAnsi="Tahoma" w:cs="Tahoma"/>
          <w:b/>
          <w:bCs/>
          <w:sz w:val="20"/>
          <w:szCs w:val="20"/>
          <w:lang w:val="pl-PL"/>
        </w:rPr>
        <w:t xml:space="preserve"> wyraźnie wyróżnia się też podejście przedstawicieli pokolenia Zet, którzy wyżej niż płacę cenią możliwość działania w przyjaznym środowisku pracy.</w:t>
      </w:r>
    </w:p>
    <w:p w14:paraId="60FDC5EF" w14:textId="77777777" w:rsidR="00381077" w:rsidRDefault="00381077" w:rsidP="00381077">
      <w:pPr>
        <w:spacing w:line="276" w:lineRule="auto"/>
        <w:rPr>
          <w:rFonts w:ascii="Tahoma" w:hAnsi="Tahoma" w:cs="Tahoma"/>
          <w:b/>
          <w:bCs/>
          <w:color w:val="4F81BD" w:themeColor="accent1"/>
          <w:sz w:val="20"/>
          <w:szCs w:val="20"/>
          <w:lang w:val="pl-PL"/>
        </w:rPr>
      </w:pPr>
      <w:r w:rsidRPr="00381077">
        <w:rPr>
          <w:rFonts w:ascii="Tahoma" w:hAnsi="Tahoma" w:cs="Tahoma"/>
          <w:b/>
          <w:bCs/>
          <w:color w:val="4F81BD" w:themeColor="accent1"/>
          <w:sz w:val="20"/>
          <w:szCs w:val="20"/>
          <w:lang w:val="pl-PL"/>
        </w:rPr>
        <w:t>Idealny pracodawca: co zmieniło się od zeszłego roku?</w:t>
      </w:r>
    </w:p>
    <w:p w14:paraId="32323FC5" w14:textId="77777777" w:rsidR="00381077" w:rsidRPr="00381077" w:rsidRDefault="00381077" w:rsidP="00381077">
      <w:pPr>
        <w:spacing w:line="276" w:lineRule="auto"/>
        <w:rPr>
          <w:rFonts w:ascii="Tahoma" w:hAnsi="Tahoma" w:cs="Tahoma"/>
          <w:b/>
          <w:bCs/>
          <w:color w:val="4F81BD" w:themeColor="accent1"/>
          <w:sz w:val="20"/>
          <w:szCs w:val="20"/>
          <w:lang w:val="pl-PL"/>
        </w:rPr>
      </w:pPr>
    </w:p>
    <w:p w14:paraId="029F59CA" w14:textId="77777777" w:rsidR="00381077" w:rsidRDefault="00381077" w:rsidP="00381077">
      <w:pPr>
        <w:spacing w:line="276" w:lineRule="auto"/>
        <w:rPr>
          <w:rFonts w:ascii="Tahoma" w:eastAsia="Calibri" w:hAnsi="Tahoma" w:cs="Tahoma"/>
          <w:color w:val="000000" w:themeColor="text1"/>
          <w:sz w:val="20"/>
          <w:szCs w:val="20"/>
          <w:lang w:val="pl-PL"/>
        </w:rPr>
      </w:pPr>
      <w:r w:rsidRPr="00381077">
        <w:rPr>
          <w:rFonts w:ascii="Tahoma" w:eastAsia="Calibri" w:hAnsi="Tahoma" w:cs="Tahoma"/>
          <w:color w:val="000000" w:themeColor="text1"/>
          <w:sz w:val="20"/>
          <w:szCs w:val="20"/>
          <w:lang w:val="pl-PL"/>
        </w:rPr>
        <w:t xml:space="preserve">Wynagrodzenie, dobra atmosfera w zespole oraz poczucie stabilności zatrudnienia niezmiennie utrzymują się w czołówce najważniejszych czynników decydujących o atrakcyjności miejsca pracy – wskazało je odpowiednio 71 proc., 63 proc. i 61 proc. badanych. Na czwartym miejscu znalazła się równowaga między pracą a życiem prywatnym (56 proc.), która w porównaniu do zeszłego roku awansowała w rankingu o dwa miejsca. Natomiast możliwość rozwoju kariery spadła z pozycji czwartej na piątą: wskazało ją o 3 </w:t>
      </w:r>
      <w:proofErr w:type="spellStart"/>
      <w:r w:rsidRPr="00381077">
        <w:rPr>
          <w:rFonts w:ascii="Tahoma" w:eastAsia="Calibri" w:hAnsi="Tahoma" w:cs="Tahoma"/>
          <w:color w:val="000000" w:themeColor="text1"/>
          <w:sz w:val="20"/>
          <w:szCs w:val="20"/>
          <w:lang w:val="pl-PL"/>
        </w:rPr>
        <w:t>p.p</w:t>
      </w:r>
      <w:proofErr w:type="spellEnd"/>
      <w:r w:rsidRPr="00381077">
        <w:rPr>
          <w:rFonts w:ascii="Tahoma" w:eastAsia="Calibri" w:hAnsi="Tahoma" w:cs="Tahoma"/>
          <w:color w:val="000000" w:themeColor="text1"/>
          <w:sz w:val="20"/>
          <w:szCs w:val="20"/>
          <w:lang w:val="pl-PL"/>
        </w:rPr>
        <w:t>. mniej respondentów niż rok temu (55 proc. vs 58 proc.).</w:t>
      </w:r>
    </w:p>
    <w:p w14:paraId="4CC52F13" w14:textId="77777777" w:rsidR="00381077" w:rsidRPr="00381077" w:rsidRDefault="00381077" w:rsidP="00381077">
      <w:pPr>
        <w:spacing w:line="276" w:lineRule="auto"/>
        <w:rPr>
          <w:rFonts w:ascii="Tahoma" w:eastAsia="Calibri" w:hAnsi="Tahoma" w:cs="Tahoma"/>
          <w:color w:val="000000" w:themeColor="text1"/>
          <w:sz w:val="20"/>
          <w:szCs w:val="20"/>
          <w:lang w:val="pl-PL"/>
        </w:rPr>
      </w:pPr>
    </w:p>
    <w:p w14:paraId="36444671" w14:textId="77777777" w:rsidR="00381077" w:rsidRDefault="00381077" w:rsidP="00381077">
      <w:pPr>
        <w:spacing w:line="276" w:lineRule="auto"/>
        <w:rPr>
          <w:rFonts w:ascii="Tahoma" w:hAnsi="Tahoma" w:cs="Tahoma"/>
          <w:b/>
          <w:bCs/>
          <w:color w:val="4F81BD" w:themeColor="accent1"/>
          <w:sz w:val="20"/>
          <w:szCs w:val="20"/>
          <w:lang w:val="pl-PL"/>
        </w:rPr>
      </w:pPr>
      <w:r w:rsidRPr="00381077">
        <w:rPr>
          <w:rFonts w:ascii="Tahoma" w:eastAsia="Tahoma" w:hAnsi="Tahoma" w:cs="Tahoma"/>
          <w:color w:val="000000" w:themeColor="text1"/>
          <w:sz w:val="20"/>
          <w:szCs w:val="20"/>
          <w:lang w:val="pl-PL"/>
        </w:rPr>
        <w:t xml:space="preserve">Chociaż podium kluczowych oczekiwań pozostaje niezmienne od dwóch lat, wskazania są nieco mniej zdecydowane: wynagrodzenie wskazało o 2 </w:t>
      </w:r>
      <w:proofErr w:type="spellStart"/>
      <w:r w:rsidRPr="00381077">
        <w:rPr>
          <w:rFonts w:ascii="Tahoma" w:eastAsia="Tahoma" w:hAnsi="Tahoma" w:cs="Tahoma"/>
          <w:color w:val="000000" w:themeColor="text1"/>
          <w:sz w:val="20"/>
          <w:szCs w:val="20"/>
          <w:lang w:val="pl-PL"/>
        </w:rPr>
        <w:t>p.p</w:t>
      </w:r>
      <w:proofErr w:type="spellEnd"/>
      <w:r w:rsidRPr="00381077">
        <w:rPr>
          <w:rFonts w:ascii="Tahoma" w:eastAsia="Tahoma" w:hAnsi="Tahoma" w:cs="Tahoma"/>
          <w:color w:val="000000" w:themeColor="text1"/>
          <w:sz w:val="20"/>
          <w:szCs w:val="20"/>
          <w:lang w:val="pl-PL"/>
        </w:rPr>
        <w:t xml:space="preserve">. mniej osób, a dobrą atmosferę o 1 </w:t>
      </w:r>
      <w:proofErr w:type="spellStart"/>
      <w:r w:rsidRPr="00381077">
        <w:rPr>
          <w:rFonts w:ascii="Tahoma" w:eastAsia="Tahoma" w:hAnsi="Tahoma" w:cs="Tahoma"/>
          <w:color w:val="000000" w:themeColor="text1"/>
          <w:sz w:val="20"/>
          <w:szCs w:val="20"/>
          <w:lang w:val="pl-PL"/>
        </w:rPr>
        <w:t>p.p</w:t>
      </w:r>
      <w:proofErr w:type="spellEnd"/>
      <w:r w:rsidRPr="00381077">
        <w:rPr>
          <w:rFonts w:ascii="Tahoma" w:eastAsia="Tahoma" w:hAnsi="Tahoma" w:cs="Tahoma"/>
          <w:color w:val="000000" w:themeColor="text1"/>
          <w:sz w:val="20"/>
          <w:szCs w:val="20"/>
          <w:lang w:val="pl-PL"/>
        </w:rPr>
        <w:t>.</w:t>
      </w:r>
      <w:r w:rsidRPr="00381077">
        <w:rPr>
          <w:rFonts w:ascii="Tahoma" w:hAnsi="Tahoma" w:cs="Tahoma"/>
          <w:sz w:val="20"/>
          <w:szCs w:val="20"/>
          <w:lang w:val="pl-PL"/>
        </w:rPr>
        <w:br/>
      </w:r>
      <w:r w:rsidRPr="00381077">
        <w:rPr>
          <w:rFonts w:ascii="Tahoma" w:hAnsi="Tahoma" w:cs="Tahoma"/>
          <w:sz w:val="20"/>
          <w:szCs w:val="20"/>
          <w:lang w:val="pl-PL"/>
        </w:rPr>
        <w:br/>
      </w:r>
      <w:r w:rsidRPr="00381077">
        <w:rPr>
          <w:rFonts w:ascii="Tahoma" w:hAnsi="Tahoma" w:cs="Tahoma"/>
          <w:b/>
          <w:bCs/>
          <w:color w:val="4F81BD" w:themeColor="accent1"/>
          <w:sz w:val="20"/>
          <w:szCs w:val="20"/>
          <w:lang w:val="pl-PL"/>
        </w:rPr>
        <w:t>Pokolenie Zet ma inne priorytety niż starsi pracownicy</w:t>
      </w:r>
    </w:p>
    <w:p w14:paraId="408842C9" w14:textId="77777777" w:rsidR="00381077" w:rsidRPr="00381077" w:rsidRDefault="00381077" w:rsidP="00381077">
      <w:pPr>
        <w:spacing w:line="276" w:lineRule="auto"/>
        <w:rPr>
          <w:rFonts w:ascii="Tahoma" w:hAnsi="Tahoma" w:cs="Tahoma"/>
          <w:b/>
          <w:bCs/>
          <w:color w:val="4F81BD" w:themeColor="accent1"/>
          <w:sz w:val="20"/>
          <w:szCs w:val="20"/>
          <w:lang w:val="pl-PL"/>
        </w:rPr>
      </w:pPr>
    </w:p>
    <w:p w14:paraId="744F2F65" w14:textId="12D58B7D" w:rsidR="00381077" w:rsidRDefault="00381077" w:rsidP="00381077">
      <w:pPr>
        <w:spacing w:line="276" w:lineRule="auto"/>
        <w:rPr>
          <w:rFonts w:ascii="Tahoma" w:eastAsia="Tahoma" w:hAnsi="Tahoma" w:cs="Tahoma"/>
          <w:color w:val="000000" w:themeColor="text1"/>
          <w:sz w:val="20"/>
          <w:szCs w:val="20"/>
          <w:lang w:val="pl-PL"/>
        </w:rPr>
      </w:pPr>
      <w:r w:rsidRPr="00381077">
        <w:rPr>
          <w:rFonts w:ascii="Tahoma" w:eastAsia="Tahoma" w:hAnsi="Tahoma" w:cs="Tahoma"/>
          <w:color w:val="000000" w:themeColor="text1"/>
          <w:sz w:val="20"/>
          <w:szCs w:val="20"/>
          <w:lang w:val="pl-PL"/>
        </w:rPr>
        <w:t xml:space="preserve">Choć w ujęciu generalnym wysokość pensji liczy się dla respondentów najbardziej, to wśród pokolenia Zet, optyka jest zupełnie inna: od idealnego pracodawcy </w:t>
      </w:r>
      <w:proofErr w:type="spellStart"/>
      <w:r w:rsidR="003643EA">
        <w:rPr>
          <w:rFonts w:ascii="Tahoma" w:eastAsia="Tahoma" w:hAnsi="Tahoma" w:cs="Tahoma"/>
          <w:color w:val="000000" w:themeColor="text1"/>
          <w:sz w:val="20"/>
          <w:szCs w:val="20"/>
          <w:lang w:val="pl-PL"/>
        </w:rPr>
        <w:t>Zetki</w:t>
      </w:r>
      <w:proofErr w:type="spellEnd"/>
      <w:r w:rsidR="003643EA">
        <w:rPr>
          <w:rFonts w:ascii="Tahoma" w:eastAsia="Tahoma" w:hAnsi="Tahoma" w:cs="Tahoma"/>
          <w:color w:val="000000" w:themeColor="text1"/>
          <w:sz w:val="20"/>
          <w:szCs w:val="20"/>
          <w:lang w:val="pl-PL"/>
        </w:rPr>
        <w:t xml:space="preserve"> </w:t>
      </w:r>
      <w:r w:rsidRPr="00381077">
        <w:rPr>
          <w:rFonts w:ascii="Tahoma" w:eastAsia="Tahoma" w:hAnsi="Tahoma" w:cs="Tahoma"/>
          <w:color w:val="000000" w:themeColor="text1"/>
          <w:sz w:val="20"/>
          <w:szCs w:val="20"/>
          <w:lang w:val="pl-PL"/>
        </w:rPr>
        <w:t>oczekują przede wszystkim zapewnienia przyjaznej atmosfery pracy (64 proc.). Dopiero po niej wskazują atrakcyjne wynagrodzenie (60 proc.) oraz możliwość rozwoju kariery (55 proc.). W tym ostatnim aspekcie więcej wskazań pojawiło się jedynie wśród pracowników w wieku 25–34 lata (59 proc.).</w:t>
      </w:r>
    </w:p>
    <w:p w14:paraId="67762A8A" w14:textId="77777777" w:rsidR="00381077" w:rsidRPr="00381077" w:rsidRDefault="00381077" w:rsidP="00381077">
      <w:pPr>
        <w:spacing w:line="276" w:lineRule="auto"/>
        <w:rPr>
          <w:rFonts w:ascii="Tahoma" w:eastAsia="Tahoma" w:hAnsi="Tahoma" w:cs="Tahoma"/>
          <w:color w:val="000000" w:themeColor="text1"/>
          <w:sz w:val="20"/>
          <w:szCs w:val="20"/>
          <w:lang w:val="pl-PL"/>
        </w:rPr>
      </w:pPr>
    </w:p>
    <w:p w14:paraId="1CDA3E70" w14:textId="77777777" w:rsidR="00381077" w:rsidRDefault="00381077" w:rsidP="00381077">
      <w:pPr>
        <w:spacing w:line="276" w:lineRule="auto"/>
        <w:rPr>
          <w:rFonts w:ascii="Tahoma" w:eastAsia="Tahoma" w:hAnsi="Tahoma" w:cs="Tahoma"/>
          <w:color w:val="000000" w:themeColor="text1"/>
          <w:sz w:val="20"/>
          <w:szCs w:val="20"/>
          <w:lang w:val="pl-PL"/>
        </w:rPr>
      </w:pPr>
      <w:r w:rsidRPr="00381077">
        <w:rPr>
          <w:rFonts w:ascii="Tahoma" w:eastAsia="Tahoma" w:hAnsi="Tahoma" w:cs="Tahoma"/>
          <w:color w:val="000000" w:themeColor="text1"/>
          <w:sz w:val="20"/>
          <w:szCs w:val="20"/>
          <w:lang w:val="pl-PL"/>
        </w:rPr>
        <w:t>Wśród starszych generacji atrakcyjne wynagrodzenie zdecydowanie dominuje, osiągając odpowiednio wartości na poziomie 68 proc. (</w:t>
      </w:r>
      <w:proofErr w:type="spellStart"/>
      <w:r w:rsidRPr="00381077">
        <w:rPr>
          <w:rFonts w:ascii="Tahoma" w:eastAsia="Tahoma" w:hAnsi="Tahoma" w:cs="Tahoma"/>
          <w:color w:val="000000" w:themeColor="text1"/>
          <w:sz w:val="20"/>
          <w:szCs w:val="20"/>
          <w:lang w:val="pl-PL"/>
        </w:rPr>
        <w:t>Millenialsi</w:t>
      </w:r>
      <w:proofErr w:type="spellEnd"/>
      <w:r w:rsidRPr="00381077">
        <w:rPr>
          <w:rFonts w:ascii="Tahoma" w:eastAsia="Tahoma" w:hAnsi="Tahoma" w:cs="Tahoma"/>
          <w:color w:val="000000" w:themeColor="text1"/>
          <w:sz w:val="20"/>
          <w:szCs w:val="20"/>
          <w:lang w:val="pl-PL"/>
        </w:rPr>
        <w:t xml:space="preserve">), 75 proc. (Pokolenie X) oraz 75 proc. (Baby </w:t>
      </w:r>
      <w:proofErr w:type="spellStart"/>
      <w:r w:rsidRPr="00381077">
        <w:rPr>
          <w:rFonts w:ascii="Tahoma" w:eastAsia="Tahoma" w:hAnsi="Tahoma" w:cs="Tahoma"/>
          <w:color w:val="000000" w:themeColor="text1"/>
          <w:sz w:val="20"/>
          <w:szCs w:val="20"/>
          <w:lang w:val="pl-PL"/>
        </w:rPr>
        <w:t>Boomers</w:t>
      </w:r>
      <w:proofErr w:type="spellEnd"/>
      <w:r w:rsidRPr="00381077">
        <w:rPr>
          <w:rFonts w:ascii="Tahoma" w:eastAsia="Tahoma" w:hAnsi="Tahoma" w:cs="Tahoma"/>
          <w:color w:val="000000" w:themeColor="text1"/>
          <w:sz w:val="20"/>
          <w:szCs w:val="20"/>
          <w:lang w:val="pl-PL"/>
        </w:rPr>
        <w:t>).</w:t>
      </w:r>
    </w:p>
    <w:p w14:paraId="5CD5B089" w14:textId="77777777" w:rsidR="00381077" w:rsidRPr="00381077" w:rsidRDefault="00381077" w:rsidP="00381077">
      <w:pPr>
        <w:spacing w:line="276" w:lineRule="auto"/>
        <w:rPr>
          <w:rFonts w:ascii="Tahoma" w:eastAsia="Tahoma" w:hAnsi="Tahoma" w:cs="Tahoma"/>
          <w:color w:val="000000" w:themeColor="text1"/>
          <w:sz w:val="20"/>
          <w:szCs w:val="20"/>
          <w:lang w:val="pl-PL"/>
        </w:rPr>
      </w:pPr>
    </w:p>
    <w:p w14:paraId="7B9A1531" w14:textId="77777777" w:rsidR="00381077" w:rsidRDefault="00381077" w:rsidP="00381077">
      <w:pPr>
        <w:spacing w:line="276" w:lineRule="auto"/>
        <w:rPr>
          <w:rFonts w:ascii="Tahoma" w:eastAsia="Tahoma" w:hAnsi="Tahoma" w:cs="Tahoma"/>
          <w:color w:val="000000" w:themeColor="text1"/>
          <w:sz w:val="20"/>
          <w:szCs w:val="20"/>
          <w:lang w:val="pl-PL"/>
        </w:rPr>
      </w:pPr>
      <w:proofErr w:type="spellStart"/>
      <w:r w:rsidRPr="00381077">
        <w:rPr>
          <w:rFonts w:ascii="Tahoma" w:eastAsia="Tahoma" w:hAnsi="Tahoma" w:cs="Tahoma"/>
          <w:color w:val="000000" w:themeColor="text1"/>
          <w:sz w:val="20"/>
          <w:szCs w:val="20"/>
          <w:lang w:val="pl-PL"/>
        </w:rPr>
        <w:t>Zetki</w:t>
      </w:r>
      <w:proofErr w:type="spellEnd"/>
      <w:r w:rsidRPr="00381077">
        <w:rPr>
          <w:rFonts w:ascii="Tahoma" w:eastAsia="Tahoma" w:hAnsi="Tahoma" w:cs="Tahoma"/>
          <w:color w:val="000000" w:themeColor="text1"/>
          <w:sz w:val="20"/>
          <w:szCs w:val="20"/>
          <w:lang w:val="pl-PL"/>
        </w:rPr>
        <w:t xml:space="preserve"> wyraźnie rzadziej oceniają firmę na podstawie jej kondycji finansowej: zwraca na to uwagę niespełna co trzeci pracownik z tej grupy (28 proc.), podczas gdy wśród pozostałych pokoleń jest to od 42 do 54 proc.</w:t>
      </w:r>
    </w:p>
    <w:p w14:paraId="7B97477C" w14:textId="77777777" w:rsidR="00381077" w:rsidRPr="00381077" w:rsidRDefault="00381077" w:rsidP="00381077">
      <w:pPr>
        <w:spacing w:line="276" w:lineRule="auto"/>
        <w:rPr>
          <w:rFonts w:ascii="Tahoma" w:eastAsia="Tahoma" w:hAnsi="Tahoma" w:cs="Tahoma"/>
          <w:color w:val="000000" w:themeColor="text1"/>
          <w:sz w:val="20"/>
          <w:szCs w:val="20"/>
          <w:lang w:val="pl-PL"/>
        </w:rPr>
      </w:pPr>
    </w:p>
    <w:p w14:paraId="612BF614" w14:textId="77777777" w:rsidR="00381077" w:rsidRDefault="00381077" w:rsidP="00381077">
      <w:pPr>
        <w:spacing w:line="276" w:lineRule="auto"/>
        <w:rPr>
          <w:rFonts w:ascii="Tahoma" w:eastAsia="Tahoma" w:hAnsi="Tahoma" w:cs="Tahoma"/>
          <w:color w:val="000000" w:themeColor="text1"/>
          <w:sz w:val="20"/>
          <w:szCs w:val="20"/>
          <w:lang w:val="pl-PL"/>
        </w:rPr>
      </w:pPr>
      <w:r w:rsidRPr="00381077">
        <w:rPr>
          <w:rFonts w:ascii="Tahoma" w:eastAsia="Tahoma" w:hAnsi="Tahoma" w:cs="Tahoma"/>
          <w:color w:val="000000" w:themeColor="text1"/>
          <w:sz w:val="20"/>
          <w:szCs w:val="20"/>
          <w:lang w:val="pl-PL"/>
        </w:rPr>
        <w:lastRenderedPageBreak/>
        <w:t xml:space="preserve">Również lokalizacja miejsca pracy nie jest dla </w:t>
      </w:r>
      <w:proofErr w:type="spellStart"/>
      <w:r w:rsidRPr="00381077">
        <w:rPr>
          <w:rFonts w:ascii="Tahoma" w:eastAsia="Tahoma" w:hAnsi="Tahoma" w:cs="Tahoma"/>
          <w:color w:val="000000" w:themeColor="text1"/>
          <w:sz w:val="20"/>
          <w:szCs w:val="20"/>
          <w:lang w:val="pl-PL"/>
        </w:rPr>
        <w:t>Zetek</w:t>
      </w:r>
      <w:proofErr w:type="spellEnd"/>
      <w:r w:rsidRPr="00381077">
        <w:rPr>
          <w:rFonts w:ascii="Tahoma" w:eastAsia="Tahoma" w:hAnsi="Tahoma" w:cs="Tahoma"/>
          <w:color w:val="000000" w:themeColor="text1"/>
          <w:sz w:val="20"/>
          <w:szCs w:val="20"/>
          <w:lang w:val="pl-PL"/>
        </w:rPr>
        <w:t xml:space="preserve"> tak ważna, jak dla starszych pracowników – zaledwie 29 proc. z nich uznało ją za istotną, podczas gdy wśród pozostałych, odsetek ten wahał się między 34 proc. a 41 proc. </w:t>
      </w:r>
    </w:p>
    <w:p w14:paraId="31321569" w14:textId="77777777" w:rsidR="00381077" w:rsidRPr="00381077" w:rsidRDefault="00381077" w:rsidP="00381077">
      <w:pPr>
        <w:spacing w:line="276" w:lineRule="auto"/>
        <w:rPr>
          <w:rFonts w:ascii="Tahoma" w:eastAsia="Tahoma" w:hAnsi="Tahoma" w:cs="Tahoma"/>
          <w:color w:val="000000" w:themeColor="text1"/>
          <w:sz w:val="20"/>
          <w:szCs w:val="20"/>
          <w:lang w:val="pl-PL"/>
        </w:rPr>
      </w:pPr>
    </w:p>
    <w:p w14:paraId="6E8C5214" w14:textId="541E83CE" w:rsidR="00381077" w:rsidRDefault="00381077" w:rsidP="00381077">
      <w:pPr>
        <w:spacing w:line="276" w:lineRule="auto"/>
        <w:rPr>
          <w:rFonts w:ascii="Tahoma" w:eastAsia="Tahoma" w:hAnsi="Tahoma" w:cs="Tahoma"/>
          <w:color w:val="000000" w:themeColor="text1"/>
          <w:sz w:val="20"/>
          <w:szCs w:val="20"/>
          <w:lang w:val="pl-PL"/>
        </w:rPr>
      </w:pPr>
      <w:proofErr w:type="spellStart"/>
      <w:r w:rsidRPr="00381077">
        <w:rPr>
          <w:rFonts w:ascii="Tahoma" w:eastAsia="Tahoma" w:hAnsi="Tahoma" w:cs="Tahoma"/>
          <w:color w:val="000000" w:themeColor="text1"/>
          <w:sz w:val="20"/>
          <w:szCs w:val="20"/>
          <w:lang w:val="pl-PL"/>
        </w:rPr>
        <w:t>Millenialsów</w:t>
      </w:r>
      <w:proofErr w:type="spellEnd"/>
      <w:r w:rsidRPr="00381077">
        <w:rPr>
          <w:rFonts w:ascii="Tahoma" w:eastAsia="Tahoma" w:hAnsi="Tahoma" w:cs="Tahoma"/>
          <w:color w:val="000000" w:themeColor="text1"/>
          <w:sz w:val="20"/>
          <w:szCs w:val="20"/>
          <w:lang w:val="pl-PL"/>
        </w:rPr>
        <w:t xml:space="preserve"> spośród wszystkich generacji wyróżnia to, że najmniejszą wagę przywiązują</w:t>
      </w:r>
      <w:r>
        <w:rPr>
          <w:rFonts w:ascii="Tahoma" w:eastAsia="Tahoma" w:hAnsi="Tahoma" w:cs="Tahoma"/>
          <w:color w:val="000000" w:themeColor="text1"/>
          <w:sz w:val="20"/>
          <w:szCs w:val="20"/>
          <w:lang w:val="pl-PL"/>
        </w:rPr>
        <w:t xml:space="preserve"> do </w:t>
      </w:r>
      <w:r w:rsidRPr="00381077">
        <w:rPr>
          <w:rFonts w:ascii="Tahoma" w:eastAsia="Tahoma" w:hAnsi="Tahoma" w:cs="Tahoma"/>
          <w:color w:val="000000" w:themeColor="text1"/>
          <w:sz w:val="20"/>
          <w:szCs w:val="20"/>
          <w:lang w:val="pl-PL"/>
        </w:rPr>
        <w:t xml:space="preserve">dobrej atmosfery w pracy (61 proc. vs od 63-64 proc. w innych grupach wiekowych). Czynnik, który w ich oczach stracił na znaczeniu najbardziej od zeszłego roku, to z kolei zapewnienie równego traktowania ze względu na wiek, płeć czy pochodzenia etniczne: w tym roku wskazał je w tej grupie co drugi pracownik, co stanowi spadek o 5 </w:t>
      </w:r>
      <w:proofErr w:type="spellStart"/>
      <w:r w:rsidRPr="00381077">
        <w:rPr>
          <w:rFonts w:ascii="Tahoma" w:eastAsia="Tahoma" w:hAnsi="Tahoma" w:cs="Tahoma"/>
          <w:color w:val="000000" w:themeColor="text1"/>
          <w:sz w:val="20"/>
          <w:szCs w:val="20"/>
          <w:lang w:val="pl-PL"/>
        </w:rPr>
        <w:t>p.p</w:t>
      </w:r>
      <w:proofErr w:type="spellEnd"/>
      <w:r w:rsidRPr="00381077">
        <w:rPr>
          <w:rFonts w:ascii="Tahoma" w:eastAsia="Tahoma" w:hAnsi="Tahoma" w:cs="Tahoma"/>
          <w:color w:val="000000" w:themeColor="text1"/>
          <w:sz w:val="20"/>
          <w:szCs w:val="20"/>
          <w:lang w:val="pl-PL"/>
        </w:rPr>
        <w:t>.</w:t>
      </w:r>
    </w:p>
    <w:p w14:paraId="483DC36C" w14:textId="77777777" w:rsidR="00381077" w:rsidRDefault="00381077" w:rsidP="00381077">
      <w:pPr>
        <w:spacing w:line="276" w:lineRule="auto"/>
        <w:rPr>
          <w:rFonts w:ascii="Tahoma" w:eastAsia="Tahoma" w:hAnsi="Tahoma" w:cs="Tahoma"/>
          <w:color w:val="000000" w:themeColor="text1"/>
          <w:sz w:val="20"/>
          <w:szCs w:val="20"/>
          <w:lang w:val="pl-PL"/>
        </w:rPr>
      </w:pPr>
    </w:p>
    <w:p w14:paraId="1835A9ED" w14:textId="760A1AE7" w:rsidR="00381077" w:rsidRDefault="00381077" w:rsidP="00381077">
      <w:pPr>
        <w:spacing w:line="276" w:lineRule="auto"/>
        <w:rPr>
          <w:rFonts w:ascii="Tahoma" w:eastAsiaTheme="minorEastAsia" w:hAnsi="Tahoma" w:cs="Tahoma"/>
          <w:color w:val="000000" w:themeColor="text1"/>
          <w:sz w:val="20"/>
          <w:szCs w:val="20"/>
          <w:lang w:val="pl-PL"/>
        </w:rPr>
      </w:pPr>
      <w:r w:rsidRPr="00381077">
        <w:rPr>
          <w:rFonts w:ascii="Tahoma" w:eastAsiaTheme="minorEastAsia" w:hAnsi="Tahoma" w:cs="Tahoma"/>
          <w:color w:val="000000" w:themeColor="text1"/>
          <w:sz w:val="20"/>
          <w:szCs w:val="20"/>
          <w:lang w:val="pl-PL"/>
        </w:rPr>
        <w:t xml:space="preserve">Pokolenie X względem zeszłego roku jest najbardziej stabilne w swoich ocenach i procentowe wartości wskazań prawie nie uległy zmianie: wysokość wynagrodzenia wybrało tu 74 proc.: identycznie jak rok wcześniej, przyjazną atmosferę </w:t>
      </w:r>
      <w:r w:rsidR="003643EA">
        <w:rPr>
          <w:rFonts w:ascii="Tahoma" w:eastAsiaTheme="minorEastAsia" w:hAnsi="Tahoma" w:cs="Tahoma"/>
          <w:color w:val="000000" w:themeColor="text1"/>
          <w:sz w:val="20"/>
          <w:szCs w:val="20"/>
          <w:lang w:val="pl-PL"/>
        </w:rPr>
        <w:t xml:space="preserve">- </w:t>
      </w:r>
      <w:r w:rsidRPr="00381077">
        <w:rPr>
          <w:rFonts w:ascii="Tahoma" w:eastAsiaTheme="minorEastAsia" w:hAnsi="Tahoma" w:cs="Tahoma"/>
          <w:color w:val="000000" w:themeColor="text1"/>
          <w:sz w:val="20"/>
          <w:szCs w:val="20"/>
          <w:lang w:val="pl-PL"/>
        </w:rPr>
        <w:t xml:space="preserve">63 proc. vs 62 proc. rok wcześniej, a  poczucie bezpieczeństwa zatrudnienia także 62 proc., jak w poprzedniej fali badania. </w:t>
      </w:r>
    </w:p>
    <w:p w14:paraId="770040F7" w14:textId="77777777" w:rsidR="00381077" w:rsidRPr="00381077" w:rsidRDefault="00381077" w:rsidP="00381077">
      <w:pPr>
        <w:spacing w:line="276" w:lineRule="auto"/>
        <w:rPr>
          <w:rFonts w:ascii="Tahoma" w:eastAsiaTheme="minorEastAsia" w:hAnsi="Tahoma" w:cs="Tahoma"/>
          <w:color w:val="000000" w:themeColor="text1"/>
          <w:sz w:val="20"/>
          <w:szCs w:val="20"/>
          <w:lang w:val="pl-PL"/>
        </w:rPr>
      </w:pPr>
    </w:p>
    <w:p w14:paraId="5DC4A8DC" w14:textId="47D1FCA5" w:rsidR="00381077" w:rsidRDefault="00381077" w:rsidP="00381077">
      <w:pPr>
        <w:spacing w:line="276" w:lineRule="auto"/>
        <w:rPr>
          <w:rFonts w:ascii="Tahoma" w:eastAsia="Tahoma" w:hAnsi="Tahoma" w:cs="Tahoma"/>
          <w:color w:val="000000" w:themeColor="text1"/>
          <w:sz w:val="20"/>
          <w:szCs w:val="20"/>
          <w:lang w:val="pl-PL"/>
        </w:rPr>
      </w:pPr>
      <w:r w:rsidRPr="00381077">
        <w:rPr>
          <w:rFonts w:ascii="Tahoma" w:eastAsia="Tahoma" w:hAnsi="Tahoma" w:cs="Tahoma"/>
          <w:color w:val="000000" w:themeColor="text1"/>
          <w:sz w:val="20"/>
          <w:szCs w:val="20"/>
          <w:lang w:val="pl-PL"/>
        </w:rPr>
        <w:t xml:space="preserve">Baby </w:t>
      </w:r>
      <w:proofErr w:type="spellStart"/>
      <w:r w:rsidRPr="00381077">
        <w:rPr>
          <w:rFonts w:ascii="Tahoma" w:eastAsia="Tahoma" w:hAnsi="Tahoma" w:cs="Tahoma"/>
          <w:color w:val="000000" w:themeColor="text1"/>
          <w:sz w:val="20"/>
          <w:szCs w:val="20"/>
          <w:lang w:val="pl-PL"/>
        </w:rPr>
        <w:t>Boomersi</w:t>
      </w:r>
      <w:proofErr w:type="spellEnd"/>
      <w:r w:rsidRPr="00381077">
        <w:rPr>
          <w:rFonts w:ascii="Tahoma" w:eastAsia="Tahoma" w:hAnsi="Tahoma" w:cs="Tahoma"/>
          <w:color w:val="000000" w:themeColor="text1"/>
          <w:sz w:val="20"/>
          <w:szCs w:val="20"/>
          <w:lang w:val="pl-PL"/>
        </w:rPr>
        <w:t xml:space="preserve"> znacznie częściej niż młodsi pracownicy cenią sobie natomiast stabilność zatrudnienia (73 proc.) względem 48 – 62 proc. wśród pozostałych grup wiekowych oraz zapewnienie równych szans bez względu na wiek, płeć i pochodzenie etniczne (59 proc. vs 50 – 53</w:t>
      </w:r>
      <w:r w:rsidR="003643EA">
        <w:rPr>
          <w:rFonts w:ascii="Tahoma" w:eastAsia="Tahoma" w:hAnsi="Tahoma" w:cs="Tahoma"/>
          <w:color w:val="000000" w:themeColor="text1"/>
          <w:sz w:val="20"/>
          <w:szCs w:val="20"/>
          <w:lang w:val="pl-PL"/>
        </w:rPr>
        <w:t xml:space="preserve"> </w:t>
      </w:r>
      <w:r w:rsidRPr="00381077">
        <w:rPr>
          <w:rFonts w:ascii="Tahoma" w:eastAsia="Tahoma" w:hAnsi="Tahoma" w:cs="Tahoma"/>
          <w:color w:val="000000" w:themeColor="text1"/>
          <w:sz w:val="20"/>
          <w:szCs w:val="20"/>
          <w:lang w:val="pl-PL"/>
        </w:rPr>
        <w:t>proc.)</w:t>
      </w:r>
      <w:r>
        <w:rPr>
          <w:rFonts w:ascii="Tahoma" w:eastAsia="Tahoma" w:hAnsi="Tahoma" w:cs="Tahoma"/>
          <w:color w:val="000000" w:themeColor="text1"/>
          <w:sz w:val="20"/>
          <w:szCs w:val="20"/>
          <w:lang w:val="pl-PL"/>
        </w:rPr>
        <w:t>.</w:t>
      </w:r>
    </w:p>
    <w:p w14:paraId="4C0D515C" w14:textId="77777777" w:rsidR="00381077" w:rsidRPr="00381077" w:rsidRDefault="00381077" w:rsidP="00381077">
      <w:pPr>
        <w:spacing w:line="276" w:lineRule="auto"/>
        <w:rPr>
          <w:rFonts w:ascii="Tahoma" w:eastAsia="Tahoma" w:hAnsi="Tahoma" w:cs="Tahoma"/>
          <w:color w:val="000000" w:themeColor="text1"/>
          <w:sz w:val="20"/>
          <w:szCs w:val="20"/>
          <w:lang w:val="pl-PL"/>
        </w:rPr>
      </w:pPr>
    </w:p>
    <w:p w14:paraId="5C8EEFDD" w14:textId="760D2508" w:rsidR="00381077" w:rsidRPr="00381077" w:rsidRDefault="00381077" w:rsidP="00381077">
      <w:pPr>
        <w:spacing w:line="276" w:lineRule="auto"/>
        <w:rPr>
          <w:rFonts w:ascii="Tahoma" w:hAnsi="Tahoma" w:cs="Tahoma"/>
          <w:b/>
          <w:bCs/>
          <w:color w:val="000000" w:themeColor="text1"/>
          <w:sz w:val="20"/>
          <w:szCs w:val="20"/>
          <w:lang w:val="pl-PL"/>
        </w:rPr>
      </w:pPr>
      <w:r w:rsidRPr="00381077">
        <w:rPr>
          <w:rFonts w:ascii="Tahoma" w:eastAsia="Tahoma" w:hAnsi="Tahoma" w:cs="Tahoma"/>
          <w:i/>
          <w:iCs/>
          <w:color w:val="000000" w:themeColor="text1"/>
          <w:sz w:val="20"/>
          <w:szCs w:val="20"/>
          <w:lang w:val="pl-PL"/>
        </w:rPr>
        <w:t>–  Przyglądając się wskazaniom kolejnych generacji widzimy, że znaczenie każdego z trzech kluczowych czynników atrakcyjności: pensji, atmosfery oraz stabilności zatrudnienia rośnie konsekwentnie wraz z wiekiem, a najwyższe procentowe wartości kumulują się w grupie osób 55-64 lata. Wynika to ze zmieniającej się w czasie sytuacj</w:t>
      </w:r>
      <w:r w:rsidR="00341C25">
        <w:rPr>
          <w:rFonts w:ascii="Tahoma" w:eastAsia="Tahoma" w:hAnsi="Tahoma" w:cs="Tahoma"/>
          <w:i/>
          <w:iCs/>
          <w:color w:val="000000" w:themeColor="text1"/>
          <w:sz w:val="20"/>
          <w:szCs w:val="20"/>
          <w:lang w:val="pl-PL"/>
        </w:rPr>
        <w:t>i osobistej pracowników: pojawia</w:t>
      </w:r>
      <w:r w:rsidRPr="00381077">
        <w:rPr>
          <w:rFonts w:ascii="Tahoma" w:eastAsia="Tahoma" w:hAnsi="Tahoma" w:cs="Tahoma"/>
          <w:i/>
          <w:iCs/>
          <w:color w:val="000000" w:themeColor="text1"/>
          <w:sz w:val="20"/>
          <w:szCs w:val="20"/>
          <w:lang w:val="pl-PL"/>
        </w:rPr>
        <w:t xml:space="preserve">jących się stopniowo zobowiązań rodzinnych, finansowych i coraz większej potrzeby budowania poczucia bezpieczeństwa dla siebie i bliskich. Uwagę zwraca również to, że wszyscy pracownicy znacznie częściej niż rok temu sygnalizują potrzebę zachowania </w:t>
      </w:r>
      <w:proofErr w:type="spellStart"/>
      <w:r w:rsidRPr="00381077">
        <w:rPr>
          <w:rFonts w:ascii="Tahoma" w:eastAsia="Tahoma" w:hAnsi="Tahoma" w:cs="Tahoma"/>
          <w:i/>
          <w:iCs/>
          <w:color w:val="000000" w:themeColor="text1"/>
          <w:sz w:val="20"/>
          <w:szCs w:val="20"/>
          <w:lang w:val="pl-PL"/>
        </w:rPr>
        <w:t>work</w:t>
      </w:r>
      <w:proofErr w:type="spellEnd"/>
      <w:r w:rsidRPr="00381077">
        <w:rPr>
          <w:rFonts w:ascii="Tahoma" w:eastAsia="Tahoma" w:hAnsi="Tahoma" w:cs="Tahoma"/>
          <w:i/>
          <w:iCs/>
          <w:color w:val="000000" w:themeColor="text1"/>
          <w:sz w:val="20"/>
          <w:szCs w:val="20"/>
          <w:lang w:val="pl-PL"/>
        </w:rPr>
        <w:t xml:space="preserve">-life </w:t>
      </w:r>
      <w:proofErr w:type="spellStart"/>
      <w:r w:rsidRPr="00381077">
        <w:rPr>
          <w:rFonts w:ascii="Tahoma" w:eastAsia="Tahoma" w:hAnsi="Tahoma" w:cs="Tahoma"/>
          <w:i/>
          <w:iCs/>
          <w:color w:val="000000" w:themeColor="text1"/>
          <w:sz w:val="20"/>
          <w:szCs w:val="20"/>
          <w:lang w:val="pl-PL"/>
        </w:rPr>
        <w:t>balance</w:t>
      </w:r>
      <w:proofErr w:type="spellEnd"/>
      <w:r w:rsidRPr="00381077">
        <w:rPr>
          <w:rFonts w:ascii="Tahoma" w:eastAsia="Tahoma" w:hAnsi="Tahoma" w:cs="Tahoma"/>
          <w:i/>
          <w:iCs/>
          <w:color w:val="000000" w:themeColor="text1"/>
          <w:sz w:val="20"/>
          <w:szCs w:val="20"/>
          <w:lang w:val="pl-PL"/>
        </w:rPr>
        <w:t>, co może sygnalizować, że mocniej doświadczamy zacierania równowagi między pracą i życiem osobistym</w:t>
      </w:r>
      <w:r w:rsidR="00E81BFD">
        <w:rPr>
          <w:rFonts w:ascii="Tahoma" w:eastAsia="Tahoma" w:hAnsi="Tahoma" w:cs="Tahoma"/>
          <w:i/>
          <w:iCs/>
          <w:color w:val="000000" w:themeColor="text1"/>
          <w:sz w:val="20"/>
          <w:szCs w:val="20"/>
          <w:lang w:val="pl-PL"/>
        </w:rPr>
        <w:t>, ale może być też przejawem rezygnacji części firm z elastyczności w zakresie czasu i miejsca wykonywania zadań</w:t>
      </w:r>
      <w:r w:rsidRPr="00381077">
        <w:rPr>
          <w:rFonts w:ascii="Tahoma" w:eastAsia="Tahoma" w:hAnsi="Tahoma" w:cs="Tahoma"/>
          <w:i/>
          <w:iCs/>
          <w:color w:val="000000" w:themeColor="text1"/>
          <w:sz w:val="20"/>
          <w:szCs w:val="20"/>
          <w:lang w:val="pl-PL"/>
        </w:rPr>
        <w:t xml:space="preserve">. Dla pracodawców to znak, że warto przyjrzeć się oferowanym modelom pracy oraz zadbać o dobrostan pracowników i realne wsparcie w wyzwaniach zawodowych </w:t>
      </w:r>
      <w:r w:rsidRPr="00381077">
        <w:rPr>
          <w:rFonts w:ascii="Tahoma" w:hAnsi="Tahoma" w:cs="Tahoma"/>
          <w:i/>
          <w:iCs/>
          <w:color w:val="000000" w:themeColor="text1"/>
          <w:sz w:val="20"/>
          <w:szCs w:val="20"/>
          <w:lang w:val="pl-PL"/>
        </w:rPr>
        <w:t>–</w:t>
      </w:r>
      <w:r w:rsidRPr="00381077">
        <w:rPr>
          <w:rFonts w:ascii="Tahoma" w:hAnsi="Tahoma" w:cs="Tahoma"/>
          <w:color w:val="000000" w:themeColor="text1"/>
          <w:sz w:val="20"/>
          <w:szCs w:val="20"/>
          <w:lang w:val="pl-PL"/>
        </w:rPr>
        <w:t xml:space="preserve"> </w:t>
      </w:r>
      <w:r w:rsidRPr="00381077">
        <w:rPr>
          <w:rFonts w:ascii="Tahoma" w:hAnsi="Tahoma" w:cs="Tahoma"/>
          <w:b/>
          <w:bCs/>
          <w:color w:val="000000" w:themeColor="text1"/>
          <w:sz w:val="20"/>
          <w:szCs w:val="20"/>
          <w:lang w:val="pl-PL"/>
        </w:rPr>
        <w:t xml:space="preserve">mówi </w:t>
      </w:r>
      <w:r w:rsidR="00A151FA">
        <w:rPr>
          <w:rFonts w:ascii="Tahoma" w:hAnsi="Tahoma" w:cs="Tahoma"/>
          <w:b/>
          <w:bCs/>
          <w:color w:val="000000" w:themeColor="text1"/>
          <w:sz w:val="20"/>
          <w:szCs w:val="20"/>
          <w:lang w:val="pl-PL"/>
        </w:rPr>
        <w:t xml:space="preserve">Marzena </w:t>
      </w:r>
      <w:proofErr w:type="spellStart"/>
      <w:r w:rsidR="00A151FA">
        <w:rPr>
          <w:rFonts w:ascii="Tahoma" w:hAnsi="Tahoma" w:cs="Tahoma"/>
          <w:b/>
          <w:bCs/>
          <w:color w:val="000000" w:themeColor="text1"/>
          <w:sz w:val="20"/>
          <w:szCs w:val="20"/>
          <w:lang w:val="pl-PL"/>
        </w:rPr>
        <w:t>Milinkiewicz</w:t>
      </w:r>
      <w:proofErr w:type="spellEnd"/>
      <w:r w:rsidRPr="00381077">
        <w:rPr>
          <w:rFonts w:ascii="Tahoma" w:hAnsi="Tahoma" w:cs="Tahoma"/>
          <w:b/>
          <w:bCs/>
          <w:color w:val="000000" w:themeColor="text1"/>
          <w:sz w:val="20"/>
          <w:szCs w:val="20"/>
          <w:lang w:val="pl-PL"/>
        </w:rPr>
        <w:t xml:space="preserve">, </w:t>
      </w:r>
      <w:bookmarkStart w:id="0" w:name="_GoBack"/>
      <w:bookmarkEnd w:id="0"/>
      <w:r w:rsidR="00A151FA">
        <w:rPr>
          <w:rFonts w:ascii="Tahoma" w:hAnsi="Tahoma" w:cs="Tahoma"/>
          <w:b/>
          <w:bCs/>
          <w:color w:val="000000" w:themeColor="text1"/>
          <w:sz w:val="20"/>
          <w:szCs w:val="20"/>
          <w:lang w:val="pl-PL"/>
        </w:rPr>
        <w:t xml:space="preserve">Dyrektor Zarządzająca </w:t>
      </w:r>
      <w:proofErr w:type="spellStart"/>
      <w:r w:rsidRPr="00381077">
        <w:rPr>
          <w:rFonts w:ascii="Tahoma" w:hAnsi="Tahoma" w:cs="Tahoma"/>
          <w:b/>
          <w:bCs/>
          <w:color w:val="000000" w:themeColor="text1"/>
          <w:sz w:val="20"/>
          <w:szCs w:val="20"/>
          <w:lang w:val="pl-PL"/>
        </w:rPr>
        <w:t>Randstad</w:t>
      </w:r>
      <w:proofErr w:type="spellEnd"/>
      <w:r w:rsidRPr="00381077">
        <w:rPr>
          <w:rFonts w:ascii="Tahoma" w:hAnsi="Tahoma" w:cs="Tahoma"/>
          <w:b/>
          <w:bCs/>
          <w:color w:val="000000" w:themeColor="text1"/>
          <w:sz w:val="20"/>
          <w:szCs w:val="20"/>
          <w:lang w:val="pl-PL"/>
        </w:rPr>
        <w:t xml:space="preserve"> Polska.</w:t>
      </w:r>
    </w:p>
    <w:p w14:paraId="7294D95C" w14:textId="77777777" w:rsidR="00381077" w:rsidRPr="00381077" w:rsidRDefault="00381077" w:rsidP="00381077">
      <w:pPr>
        <w:spacing w:line="276" w:lineRule="auto"/>
        <w:rPr>
          <w:rFonts w:ascii="Tahoma" w:eastAsia="Tahoma" w:hAnsi="Tahoma" w:cs="Tahoma"/>
          <w:color w:val="000000" w:themeColor="text1"/>
          <w:sz w:val="20"/>
          <w:szCs w:val="20"/>
          <w:lang w:val="pl-PL"/>
        </w:rPr>
      </w:pPr>
    </w:p>
    <w:p w14:paraId="536383B9" w14:textId="77777777" w:rsidR="00381077" w:rsidRDefault="00381077" w:rsidP="00381077">
      <w:pPr>
        <w:spacing w:line="276" w:lineRule="auto"/>
        <w:rPr>
          <w:rFonts w:ascii="Tahoma" w:eastAsia="Tahoma" w:hAnsi="Tahoma" w:cs="Tahoma"/>
          <w:b/>
          <w:bCs/>
          <w:color w:val="4F81BD" w:themeColor="accent1"/>
          <w:sz w:val="20"/>
          <w:szCs w:val="20"/>
          <w:lang w:val="pl-PL"/>
        </w:rPr>
      </w:pPr>
      <w:r w:rsidRPr="00381077">
        <w:rPr>
          <w:rFonts w:ascii="Tahoma" w:eastAsia="Tahoma" w:hAnsi="Tahoma" w:cs="Tahoma"/>
          <w:b/>
          <w:bCs/>
          <w:color w:val="4F81BD" w:themeColor="accent1"/>
          <w:sz w:val="20"/>
          <w:szCs w:val="20"/>
          <w:lang w:val="pl-PL"/>
        </w:rPr>
        <w:t>Pensja i stabilność posady bardziej liczą się dla kobiet</w:t>
      </w:r>
    </w:p>
    <w:p w14:paraId="6434751E" w14:textId="77777777" w:rsidR="00381077" w:rsidRPr="00381077" w:rsidRDefault="00381077" w:rsidP="00381077">
      <w:pPr>
        <w:spacing w:line="276" w:lineRule="auto"/>
        <w:rPr>
          <w:rFonts w:ascii="Tahoma" w:eastAsia="Tahoma" w:hAnsi="Tahoma" w:cs="Tahoma"/>
          <w:b/>
          <w:bCs/>
          <w:color w:val="4F81BD" w:themeColor="accent1"/>
          <w:sz w:val="20"/>
          <w:szCs w:val="20"/>
          <w:lang w:val="pl-PL"/>
        </w:rPr>
      </w:pPr>
    </w:p>
    <w:p w14:paraId="2BC1403A" w14:textId="77777777" w:rsidR="00381077" w:rsidRDefault="00381077" w:rsidP="00381077">
      <w:pPr>
        <w:spacing w:line="276" w:lineRule="auto"/>
        <w:jc w:val="both"/>
        <w:rPr>
          <w:rFonts w:ascii="Tahoma" w:eastAsia="Tahoma" w:hAnsi="Tahoma" w:cs="Tahoma"/>
          <w:color w:val="000000" w:themeColor="text1"/>
          <w:sz w:val="20"/>
          <w:szCs w:val="20"/>
          <w:lang w:val="pl-PL"/>
        </w:rPr>
      </w:pPr>
      <w:r w:rsidRPr="00381077">
        <w:rPr>
          <w:rFonts w:ascii="Tahoma" w:eastAsia="Tahoma" w:hAnsi="Tahoma" w:cs="Tahoma"/>
          <w:color w:val="000000" w:themeColor="text1"/>
          <w:sz w:val="20"/>
          <w:szCs w:val="20"/>
          <w:lang w:val="pl-PL"/>
        </w:rPr>
        <w:t xml:space="preserve">Odmienne oczekiwania względem pracodawcy widać również pod względem płci respondentów. Zapewnienie przez firmę równych szans jest dużo ważniejsze dla kobiet (58 proc. vs. 44 proc.). Inne jest także podejście do wynagrodzenia: kobiety częściej niż mężczyźni deklarują, że liczy się dla nich atrakcyjna płaca i benefity (74 proc. vs 67 proc.) oraz dobra atmosfera (67 proc. vs. 58 proc.). </w:t>
      </w:r>
    </w:p>
    <w:p w14:paraId="4B7DFF20" w14:textId="77777777" w:rsidR="00381077" w:rsidRPr="00381077" w:rsidRDefault="00381077" w:rsidP="00381077">
      <w:pPr>
        <w:spacing w:line="276" w:lineRule="auto"/>
        <w:jc w:val="both"/>
        <w:rPr>
          <w:rFonts w:ascii="Tahoma" w:eastAsia="Tahoma" w:hAnsi="Tahoma" w:cs="Tahoma"/>
          <w:color w:val="000000" w:themeColor="text1"/>
          <w:sz w:val="20"/>
          <w:szCs w:val="20"/>
          <w:lang w:val="pl-PL"/>
        </w:rPr>
      </w:pPr>
    </w:p>
    <w:p w14:paraId="2FC9B9C1" w14:textId="77777777" w:rsidR="00381077" w:rsidRDefault="00381077" w:rsidP="00381077">
      <w:pPr>
        <w:spacing w:line="276" w:lineRule="auto"/>
        <w:jc w:val="both"/>
        <w:rPr>
          <w:rFonts w:ascii="Tahoma" w:eastAsia="Tahoma" w:hAnsi="Tahoma" w:cs="Tahoma"/>
          <w:color w:val="000000" w:themeColor="text1"/>
          <w:sz w:val="20"/>
          <w:szCs w:val="20"/>
          <w:lang w:val="pl-PL"/>
        </w:rPr>
      </w:pPr>
      <w:r w:rsidRPr="00381077">
        <w:rPr>
          <w:rFonts w:ascii="Tahoma" w:eastAsia="Tahoma" w:hAnsi="Tahoma" w:cs="Tahoma"/>
          <w:color w:val="000000" w:themeColor="text1"/>
          <w:sz w:val="20"/>
          <w:szCs w:val="20"/>
          <w:lang w:val="pl-PL"/>
        </w:rPr>
        <w:t xml:space="preserve">Kobiety zdecydowanie częściej podkreślają przy tym również potrzebę utrzymania </w:t>
      </w:r>
      <w:proofErr w:type="spellStart"/>
      <w:r w:rsidRPr="00381077">
        <w:rPr>
          <w:rFonts w:ascii="Tahoma" w:eastAsia="Tahoma" w:hAnsi="Tahoma" w:cs="Tahoma"/>
          <w:color w:val="000000" w:themeColor="text1"/>
          <w:sz w:val="20"/>
          <w:szCs w:val="20"/>
          <w:lang w:val="pl-PL"/>
        </w:rPr>
        <w:t>work</w:t>
      </w:r>
      <w:proofErr w:type="spellEnd"/>
      <w:r w:rsidRPr="00381077">
        <w:rPr>
          <w:rFonts w:ascii="Tahoma" w:eastAsia="Tahoma" w:hAnsi="Tahoma" w:cs="Tahoma"/>
          <w:color w:val="000000" w:themeColor="text1"/>
          <w:sz w:val="20"/>
          <w:szCs w:val="20"/>
          <w:lang w:val="pl-PL"/>
        </w:rPr>
        <w:t xml:space="preserve">-life </w:t>
      </w:r>
      <w:proofErr w:type="spellStart"/>
      <w:r w:rsidRPr="00381077">
        <w:rPr>
          <w:rFonts w:ascii="Tahoma" w:eastAsia="Tahoma" w:hAnsi="Tahoma" w:cs="Tahoma"/>
          <w:color w:val="000000" w:themeColor="text1"/>
          <w:sz w:val="20"/>
          <w:szCs w:val="20"/>
          <w:lang w:val="pl-PL"/>
        </w:rPr>
        <w:t>balance</w:t>
      </w:r>
      <w:proofErr w:type="spellEnd"/>
      <w:r w:rsidRPr="00381077">
        <w:rPr>
          <w:rFonts w:ascii="Tahoma" w:eastAsia="Tahoma" w:hAnsi="Tahoma" w:cs="Tahoma"/>
          <w:color w:val="000000" w:themeColor="text1"/>
          <w:sz w:val="20"/>
          <w:szCs w:val="20"/>
          <w:lang w:val="pl-PL"/>
        </w:rPr>
        <w:t xml:space="preserve"> (60 proc. kobiet vs. 51 proc. mężczyzn). Są też bardziej nastawione na szkolenia (51 proc. vs 44 proc.) oraz rozwój kariery (61 proc. vs. 55 proc.). Wyżej niż mężczyźni cenią sobie możliwość pracy zdalnej (40 proc. do 30 proc.).</w:t>
      </w:r>
    </w:p>
    <w:p w14:paraId="3BB158CD" w14:textId="77777777" w:rsidR="00381077" w:rsidRPr="00381077" w:rsidRDefault="00381077" w:rsidP="00381077">
      <w:pPr>
        <w:spacing w:line="276" w:lineRule="auto"/>
        <w:jc w:val="both"/>
        <w:rPr>
          <w:rFonts w:ascii="Tahoma" w:eastAsia="Tahoma" w:hAnsi="Tahoma" w:cs="Tahoma"/>
          <w:color w:val="000000" w:themeColor="text1"/>
          <w:sz w:val="20"/>
          <w:szCs w:val="20"/>
          <w:lang w:val="pl-PL"/>
        </w:rPr>
      </w:pPr>
    </w:p>
    <w:p w14:paraId="68E7DBEE" w14:textId="77777777" w:rsidR="00381077" w:rsidRPr="00381077" w:rsidRDefault="00381077" w:rsidP="00381077">
      <w:pPr>
        <w:spacing w:line="276" w:lineRule="auto"/>
        <w:jc w:val="both"/>
        <w:rPr>
          <w:rFonts w:ascii="Tahoma" w:eastAsia="Tahoma" w:hAnsi="Tahoma" w:cs="Tahoma"/>
          <w:color w:val="000000" w:themeColor="text1"/>
          <w:sz w:val="20"/>
          <w:szCs w:val="20"/>
          <w:lang w:val="pl-PL"/>
        </w:rPr>
      </w:pPr>
      <w:r w:rsidRPr="00381077">
        <w:rPr>
          <w:rFonts w:ascii="Tahoma" w:eastAsia="Tahoma" w:hAnsi="Tahoma" w:cs="Tahoma"/>
          <w:color w:val="000000" w:themeColor="text1"/>
          <w:sz w:val="20"/>
          <w:szCs w:val="20"/>
          <w:lang w:val="pl-PL"/>
        </w:rPr>
        <w:t>Z kolei mężczyźni w większym stopniu interesują się dostępem do nowoczesnych technologii – dla 27 proc. z nich jest to czynnik wpływający na atrakcyjność miejsca pracy, w porównaniu do 20 proc. kobiet.</w:t>
      </w:r>
    </w:p>
    <w:p w14:paraId="21ED29DB" w14:textId="77777777" w:rsidR="00381077" w:rsidRPr="00381077" w:rsidRDefault="00381077" w:rsidP="00381077">
      <w:pPr>
        <w:spacing w:line="276" w:lineRule="auto"/>
        <w:jc w:val="both"/>
        <w:rPr>
          <w:rFonts w:ascii="Tahoma" w:eastAsia="Tahoma" w:hAnsi="Tahoma" w:cs="Tahoma"/>
          <w:color w:val="000000" w:themeColor="text1"/>
          <w:sz w:val="20"/>
          <w:szCs w:val="20"/>
          <w:lang w:val="pl-PL"/>
        </w:rPr>
      </w:pPr>
    </w:p>
    <w:p w14:paraId="226B7BB8" w14:textId="77777777" w:rsidR="00381077" w:rsidRPr="00381077" w:rsidRDefault="00381077" w:rsidP="00381077">
      <w:pPr>
        <w:spacing w:line="276" w:lineRule="auto"/>
        <w:rPr>
          <w:rFonts w:ascii="Tahoma" w:eastAsia="Tahoma" w:hAnsi="Tahoma" w:cs="Tahoma"/>
          <w:b/>
          <w:bCs/>
          <w:color w:val="4F81BD" w:themeColor="accent1"/>
          <w:sz w:val="20"/>
          <w:szCs w:val="20"/>
          <w:lang w:val="pl-PL"/>
        </w:rPr>
      </w:pPr>
      <w:r w:rsidRPr="00381077">
        <w:rPr>
          <w:rFonts w:ascii="Tahoma" w:eastAsia="Tahoma" w:hAnsi="Tahoma" w:cs="Tahoma"/>
          <w:b/>
          <w:bCs/>
          <w:color w:val="4F81BD" w:themeColor="accent1"/>
          <w:sz w:val="20"/>
          <w:szCs w:val="20"/>
          <w:lang w:val="pl-PL"/>
        </w:rPr>
        <w:t>Obecna pensja coraz bardziej odbiega od oczekiwań Polaków</w:t>
      </w:r>
    </w:p>
    <w:p w14:paraId="10760E6C" w14:textId="77777777" w:rsidR="00381077" w:rsidRDefault="00381077" w:rsidP="00381077">
      <w:pPr>
        <w:spacing w:line="276" w:lineRule="auto"/>
        <w:rPr>
          <w:rFonts w:ascii="Tahoma" w:eastAsiaTheme="minorEastAsia" w:hAnsi="Tahoma" w:cs="Tahoma"/>
          <w:color w:val="000000" w:themeColor="text1"/>
          <w:sz w:val="20"/>
          <w:szCs w:val="20"/>
          <w:lang w:val="pl-PL"/>
        </w:rPr>
      </w:pPr>
      <w:r w:rsidRPr="00381077">
        <w:rPr>
          <w:rFonts w:ascii="Tahoma" w:eastAsiaTheme="minorEastAsia" w:hAnsi="Tahoma" w:cs="Tahoma"/>
          <w:color w:val="000000" w:themeColor="text1"/>
          <w:sz w:val="20"/>
          <w:szCs w:val="20"/>
          <w:lang w:val="pl-PL"/>
        </w:rPr>
        <w:lastRenderedPageBreak/>
        <w:t>W bieżącej edycji badania pracownicy nieco bardziej przychylnie niż rok temu ocenili swoich aktualnych pracodawców: obecność wszystkich pożądanych czynników (z wyjątkiem stabilności zatrudnienia) była zaznaczana częściej.</w:t>
      </w:r>
    </w:p>
    <w:p w14:paraId="1DA872B6" w14:textId="77777777" w:rsidR="00381077" w:rsidRPr="00381077" w:rsidRDefault="00381077" w:rsidP="00381077">
      <w:pPr>
        <w:spacing w:line="276" w:lineRule="auto"/>
        <w:rPr>
          <w:rFonts w:ascii="Tahoma" w:eastAsiaTheme="minorEastAsia" w:hAnsi="Tahoma" w:cs="Tahoma"/>
          <w:color w:val="000000" w:themeColor="text1"/>
          <w:sz w:val="20"/>
          <w:szCs w:val="20"/>
          <w:lang w:val="pl-PL"/>
        </w:rPr>
      </w:pPr>
    </w:p>
    <w:p w14:paraId="1C141124" w14:textId="77777777" w:rsidR="00381077" w:rsidRDefault="00381077" w:rsidP="00381077">
      <w:pPr>
        <w:spacing w:line="276" w:lineRule="auto"/>
        <w:rPr>
          <w:rFonts w:ascii="Tahoma" w:eastAsia="Tahoma" w:hAnsi="Tahoma" w:cs="Tahoma"/>
          <w:color w:val="000000" w:themeColor="text1"/>
          <w:sz w:val="20"/>
          <w:szCs w:val="20"/>
          <w:lang w:val="pl-PL"/>
        </w:rPr>
      </w:pPr>
      <w:r w:rsidRPr="00381077">
        <w:rPr>
          <w:rFonts w:ascii="Tahoma" w:eastAsia="Tahoma" w:hAnsi="Tahoma" w:cs="Tahoma"/>
          <w:color w:val="000000" w:themeColor="text1"/>
          <w:sz w:val="20"/>
          <w:szCs w:val="20"/>
          <w:lang w:val="pl-PL"/>
        </w:rPr>
        <w:t>Jednocześnie najistotniejsza kwestia, czyli atrakcyjne wynagrodzenie, zajmuje teraz dopiero 10. miejsce wśród tych faktycznie oferowanych przez firmy, a więc od zeszłego roku spadła o 1 miejsce w rankingu.</w:t>
      </w:r>
    </w:p>
    <w:p w14:paraId="62457978" w14:textId="77777777" w:rsidR="00381077" w:rsidRPr="00381077" w:rsidRDefault="00381077" w:rsidP="00381077">
      <w:pPr>
        <w:spacing w:line="276" w:lineRule="auto"/>
        <w:rPr>
          <w:rFonts w:ascii="Tahoma" w:eastAsia="Tahoma" w:hAnsi="Tahoma" w:cs="Tahoma"/>
          <w:color w:val="000000" w:themeColor="text1"/>
          <w:sz w:val="20"/>
          <w:szCs w:val="20"/>
          <w:lang w:val="pl-PL"/>
        </w:rPr>
      </w:pPr>
    </w:p>
    <w:p w14:paraId="48E245A1" w14:textId="70AA68C6" w:rsidR="00381077" w:rsidRDefault="00381077" w:rsidP="00381077">
      <w:pPr>
        <w:spacing w:line="276" w:lineRule="auto"/>
        <w:rPr>
          <w:rFonts w:ascii="Tahoma" w:eastAsia="Tahoma" w:hAnsi="Tahoma" w:cs="Tahoma"/>
          <w:color w:val="000000" w:themeColor="text1"/>
          <w:sz w:val="20"/>
          <w:szCs w:val="20"/>
          <w:lang w:val="pl-PL"/>
        </w:rPr>
      </w:pPr>
      <w:r w:rsidRPr="00381077">
        <w:rPr>
          <w:rFonts w:ascii="Tahoma" w:eastAsia="Tahoma" w:hAnsi="Tahoma" w:cs="Tahoma"/>
          <w:color w:val="000000" w:themeColor="text1"/>
          <w:sz w:val="20"/>
          <w:szCs w:val="20"/>
          <w:lang w:val="pl-PL"/>
        </w:rPr>
        <w:t>Jako 3 główne cechy pozytywnie wyróżniające obecnych pracodawców, zatrudnieni wskazują stabilność zatrudnienia i dogodną lokalizację (po 70 proc.) oraz dobrą kondycję finansową przedsiębiorstwa (66 proc.).</w:t>
      </w:r>
    </w:p>
    <w:p w14:paraId="54826D8A" w14:textId="77777777" w:rsidR="00381077" w:rsidRPr="00381077" w:rsidRDefault="00381077" w:rsidP="00381077">
      <w:pPr>
        <w:spacing w:line="276" w:lineRule="auto"/>
        <w:rPr>
          <w:rFonts w:ascii="Tahoma" w:eastAsia="Tahoma" w:hAnsi="Tahoma" w:cs="Tahoma"/>
          <w:color w:val="000000" w:themeColor="text1"/>
          <w:sz w:val="20"/>
          <w:szCs w:val="20"/>
          <w:lang w:val="pl-PL"/>
        </w:rPr>
      </w:pPr>
    </w:p>
    <w:p w14:paraId="2B960A21" w14:textId="251028EF" w:rsidR="00381077" w:rsidRPr="00381077" w:rsidRDefault="00381077" w:rsidP="00381077">
      <w:pPr>
        <w:pStyle w:val="Akapitzlist"/>
        <w:spacing w:after="0"/>
        <w:ind w:left="0"/>
        <w:rPr>
          <w:rFonts w:ascii="Tahoma" w:eastAsia="Tahoma" w:hAnsi="Tahoma" w:cs="Tahoma"/>
          <w:color w:val="000000" w:themeColor="text1"/>
          <w:sz w:val="20"/>
          <w:szCs w:val="20"/>
        </w:rPr>
      </w:pPr>
      <w:r w:rsidRPr="00381077">
        <w:rPr>
          <w:rFonts w:ascii="Tahoma" w:eastAsia="Tahoma" w:hAnsi="Tahoma" w:cs="Tahoma"/>
          <w:color w:val="000000" w:themeColor="text1"/>
          <w:sz w:val="20"/>
          <w:szCs w:val="20"/>
        </w:rPr>
        <w:t xml:space="preserve">Kobiety lepiej oceniają stabilność zatrudnienia, lokalizację, zapewnienie równych szans, przyjazną atmosferę, </w:t>
      </w:r>
      <w:proofErr w:type="spellStart"/>
      <w:r w:rsidRPr="00381077">
        <w:rPr>
          <w:rFonts w:ascii="Tahoma" w:eastAsia="Tahoma" w:hAnsi="Tahoma" w:cs="Tahoma"/>
          <w:color w:val="000000" w:themeColor="text1"/>
          <w:sz w:val="20"/>
          <w:szCs w:val="20"/>
        </w:rPr>
        <w:t>work</w:t>
      </w:r>
      <w:proofErr w:type="spellEnd"/>
      <w:r w:rsidRPr="00381077">
        <w:rPr>
          <w:rFonts w:ascii="Tahoma" w:eastAsia="Tahoma" w:hAnsi="Tahoma" w:cs="Tahoma"/>
          <w:color w:val="000000" w:themeColor="text1"/>
          <w:sz w:val="20"/>
          <w:szCs w:val="20"/>
        </w:rPr>
        <w:t xml:space="preserve">-life </w:t>
      </w:r>
      <w:proofErr w:type="spellStart"/>
      <w:r w:rsidRPr="00381077">
        <w:rPr>
          <w:rFonts w:ascii="Tahoma" w:eastAsia="Tahoma" w:hAnsi="Tahoma" w:cs="Tahoma"/>
          <w:color w:val="000000" w:themeColor="text1"/>
          <w:sz w:val="20"/>
          <w:szCs w:val="20"/>
        </w:rPr>
        <w:t>balance</w:t>
      </w:r>
      <w:proofErr w:type="spellEnd"/>
      <w:r w:rsidR="00E81BFD">
        <w:rPr>
          <w:rFonts w:ascii="Tahoma" w:eastAsia="Tahoma" w:hAnsi="Tahoma" w:cs="Tahoma"/>
          <w:color w:val="000000" w:themeColor="text1"/>
          <w:sz w:val="20"/>
          <w:szCs w:val="20"/>
        </w:rPr>
        <w:t xml:space="preserve"> u swoich obecnych pracodawców</w:t>
      </w:r>
      <w:r w:rsidRPr="00381077">
        <w:rPr>
          <w:rFonts w:ascii="Tahoma" w:eastAsia="Tahoma" w:hAnsi="Tahoma" w:cs="Tahoma"/>
          <w:color w:val="000000" w:themeColor="text1"/>
          <w:sz w:val="20"/>
          <w:szCs w:val="20"/>
        </w:rPr>
        <w:t>. Mężczyźni zaś dobrą sytuację finansową firmy, dobrą reputację, interesujące treści pracy, możliwości rozwoju kariery, atrakcyjne wynagrodzenie i troskę o środowisko.</w:t>
      </w:r>
    </w:p>
    <w:p w14:paraId="435528E7" w14:textId="7267D7E5" w:rsidR="00A87157" w:rsidRPr="00381077" w:rsidRDefault="00A87157" w:rsidP="02F55C5F">
      <w:pPr>
        <w:pStyle w:val="HeaderAddress"/>
        <w:spacing w:before="240" w:line="276" w:lineRule="auto"/>
        <w:jc w:val="both"/>
        <w:rPr>
          <w:sz w:val="20"/>
          <w:szCs w:val="20"/>
          <w:lang w:val="pl-PL"/>
        </w:rPr>
      </w:pPr>
    </w:p>
    <w:p w14:paraId="37DF8A94" w14:textId="4C7BC584" w:rsidR="005F07BC" w:rsidRPr="00381077" w:rsidRDefault="001A7186" w:rsidP="00D72017">
      <w:pPr>
        <w:pStyle w:val="HeaderAddress"/>
        <w:spacing w:line="276" w:lineRule="auto"/>
        <w:rPr>
          <w:rFonts w:eastAsia="Tahoma Bold"/>
          <w:color w:val="0070C0"/>
          <w:sz w:val="18"/>
          <w:szCs w:val="18"/>
          <w:u w:color="0070C0"/>
          <w:lang w:val="pl-PL"/>
        </w:rPr>
      </w:pPr>
      <w:r w:rsidRPr="00381077">
        <w:rPr>
          <w:color w:val="0070C0"/>
          <w:sz w:val="18"/>
          <w:szCs w:val="18"/>
          <w:u w:color="0070C0"/>
          <w:lang w:val="pl-PL"/>
        </w:rPr>
        <w:t>Kontakt:</w:t>
      </w:r>
    </w:p>
    <w:p w14:paraId="15D42051" w14:textId="77777777" w:rsidR="005F07BC" w:rsidRPr="00381077" w:rsidRDefault="001A7186" w:rsidP="00D72017">
      <w:pPr>
        <w:pStyle w:val="HeaderAddress"/>
        <w:spacing w:line="276" w:lineRule="auto"/>
        <w:rPr>
          <w:rFonts w:eastAsia="Tahoma Bold"/>
          <w:sz w:val="18"/>
          <w:szCs w:val="18"/>
          <w:lang w:val="pl-PL"/>
        </w:rPr>
      </w:pPr>
      <w:r w:rsidRPr="00381077">
        <w:rPr>
          <w:sz w:val="18"/>
          <w:szCs w:val="18"/>
          <w:lang w:val="pl-PL"/>
        </w:rPr>
        <w:t>Mateusz Żydek</w:t>
      </w:r>
    </w:p>
    <w:p w14:paraId="05E88105" w14:textId="77777777" w:rsidR="005F07BC" w:rsidRPr="00381077" w:rsidRDefault="001A7186" w:rsidP="00D72017">
      <w:pPr>
        <w:pStyle w:val="HeaderAddress"/>
        <w:spacing w:line="276" w:lineRule="auto"/>
        <w:rPr>
          <w:sz w:val="18"/>
          <w:szCs w:val="18"/>
          <w:lang w:val="pl-PL"/>
        </w:rPr>
      </w:pPr>
      <w:r w:rsidRPr="00381077">
        <w:rPr>
          <w:sz w:val="18"/>
          <w:szCs w:val="18"/>
          <w:lang w:val="pl-PL"/>
        </w:rPr>
        <w:t>Rzecznik Prasowy</w:t>
      </w:r>
    </w:p>
    <w:p w14:paraId="43AA5C22" w14:textId="77777777" w:rsidR="005F07BC" w:rsidRPr="00381077" w:rsidRDefault="001A7186" w:rsidP="00D72017">
      <w:pPr>
        <w:pStyle w:val="HeaderAddress"/>
        <w:spacing w:line="276" w:lineRule="auto"/>
        <w:rPr>
          <w:sz w:val="18"/>
          <w:szCs w:val="18"/>
          <w:lang w:val="pl-PL"/>
        </w:rPr>
      </w:pPr>
      <w:r w:rsidRPr="00381077">
        <w:rPr>
          <w:sz w:val="18"/>
          <w:szCs w:val="18"/>
          <w:lang w:val="pl-PL"/>
        </w:rPr>
        <w:t>Tel. +48 665 305 902</w:t>
      </w:r>
    </w:p>
    <w:p w14:paraId="799D4A7B" w14:textId="77777777" w:rsidR="005F07BC" w:rsidRPr="00381077" w:rsidRDefault="001A7186" w:rsidP="00D72017">
      <w:pPr>
        <w:pStyle w:val="HeaderAddress"/>
        <w:spacing w:line="276" w:lineRule="auto"/>
        <w:rPr>
          <w:rStyle w:val="Brak"/>
          <w:color w:val="4F81BD"/>
          <w:sz w:val="18"/>
          <w:szCs w:val="18"/>
          <w:u w:color="4F81BD"/>
          <w:lang w:val="pl-PL"/>
        </w:rPr>
      </w:pPr>
      <w:r w:rsidRPr="00381077">
        <w:rPr>
          <w:sz w:val="18"/>
          <w:szCs w:val="18"/>
          <w:lang w:val="pl-PL"/>
        </w:rPr>
        <w:t xml:space="preserve">Email: </w:t>
      </w:r>
      <w:hyperlink r:id="rId10" w:history="1">
        <w:r w:rsidRPr="00381077">
          <w:rPr>
            <w:rStyle w:val="Hyperlink0"/>
            <w:lang w:val="pl-PL"/>
          </w:rPr>
          <w:t>mateusz.zydek@randstad.pl</w:t>
        </w:r>
      </w:hyperlink>
    </w:p>
    <w:p w14:paraId="223F517D" w14:textId="77777777" w:rsidR="005F07BC" w:rsidRPr="00381077" w:rsidRDefault="005F07BC" w:rsidP="00204078">
      <w:pPr>
        <w:pStyle w:val="HeaderAddress"/>
        <w:spacing w:line="276" w:lineRule="auto"/>
        <w:jc w:val="both"/>
        <w:rPr>
          <w:rStyle w:val="Brak"/>
          <w:color w:val="4F81BD"/>
          <w:sz w:val="18"/>
          <w:szCs w:val="18"/>
          <w:u w:color="4F81BD"/>
          <w:lang w:val="pl-PL"/>
        </w:rPr>
      </w:pPr>
    </w:p>
    <w:p w14:paraId="7225E52D" w14:textId="77777777" w:rsidR="005F07BC" w:rsidRPr="00381077" w:rsidRDefault="005F07BC" w:rsidP="00204078">
      <w:pPr>
        <w:pStyle w:val="Normalny1"/>
        <w:pBdr>
          <w:bottom w:val="single" w:sz="6" w:space="0" w:color="000000"/>
        </w:pBdr>
        <w:spacing w:line="276" w:lineRule="auto"/>
        <w:jc w:val="both"/>
        <w:rPr>
          <w:rStyle w:val="Brak"/>
          <w:rFonts w:eastAsia="Tahoma Bold"/>
          <w:sz w:val="14"/>
          <w:szCs w:val="14"/>
          <w:lang w:val="pl-PL"/>
        </w:rPr>
      </w:pPr>
    </w:p>
    <w:p w14:paraId="1480A6E0" w14:textId="0E45E6EB" w:rsidR="02F55C5F" w:rsidRPr="00381077" w:rsidRDefault="008660FC" w:rsidP="00C60E86">
      <w:pPr>
        <w:pStyle w:val="Tre"/>
        <w:spacing w:line="276" w:lineRule="auto"/>
        <w:rPr>
          <w:rStyle w:val="Brak"/>
          <w:rFonts w:ascii="Tahoma" w:hAnsi="Tahoma" w:cs="Tahoma"/>
          <w:sz w:val="16"/>
          <w:szCs w:val="16"/>
          <w:lang w:val="pl-PL"/>
        </w:rPr>
      </w:pPr>
      <w:r w:rsidRPr="00381077">
        <w:rPr>
          <w:rStyle w:val="Brak"/>
          <w:rFonts w:ascii="Tahoma" w:hAnsi="Tahoma" w:cs="Tahoma"/>
          <w:color w:val="4F81BD"/>
          <w:kern w:val="16"/>
          <w:u w:color="4F81BD"/>
          <w:lang w:val="pl-PL"/>
        </w:rPr>
        <w:br/>
      </w:r>
      <w:proofErr w:type="spellStart"/>
      <w:r w:rsidR="00A801C1" w:rsidRPr="00A801C1">
        <w:rPr>
          <w:rStyle w:val="Brak"/>
          <w:rFonts w:ascii="Tahoma" w:hAnsi="Tahoma" w:cs="Tahoma"/>
          <w:color w:val="4F81BD"/>
          <w:kern w:val="16"/>
          <w:sz w:val="16"/>
          <w:szCs w:val="16"/>
          <w:lang w:val="pl-PL"/>
        </w:rPr>
        <w:t>Randstad</w:t>
      </w:r>
      <w:proofErr w:type="spellEnd"/>
      <w:r w:rsidR="00A801C1" w:rsidRPr="00A801C1">
        <w:rPr>
          <w:rStyle w:val="Brak"/>
          <w:rFonts w:ascii="Tahoma" w:hAnsi="Tahoma" w:cs="Tahoma"/>
          <w:color w:val="4F81BD"/>
          <w:kern w:val="16"/>
          <w:sz w:val="16"/>
          <w:szCs w:val="16"/>
          <w:lang w:val="pl-PL"/>
        </w:rPr>
        <w:t xml:space="preserve"> </w:t>
      </w:r>
      <w:proofErr w:type="spellStart"/>
      <w:r w:rsidR="00A801C1" w:rsidRPr="00A801C1">
        <w:rPr>
          <w:rStyle w:val="Brak"/>
          <w:rFonts w:ascii="Tahoma" w:hAnsi="Tahoma" w:cs="Tahoma"/>
          <w:color w:val="4F81BD"/>
          <w:kern w:val="16"/>
          <w:sz w:val="16"/>
          <w:szCs w:val="16"/>
          <w:lang w:val="pl-PL"/>
        </w:rPr>
        <w:t>Employed</w:t>
      </w:r>
      <w:proofErr w:type="spellEnd"/>
      <w:r w:rsidR="00A801C1" w:rsidRPr="00A801C1">
        <w:rPr>
          <w:rStyle w:val="Brak"/>
          <w:rFonts w:ascii="Tahoma" w:hAnsi="Tahoma" w:cs="Tahoma"/>
          <w:color w:val="4F81BD"/>
          <w:kern w:val="16"/>
          <w:sz w:val="16"/>
          <w:szCs w:val="16"/>
          <w:lang w:val="pl-PL"/>
        </w:rPr>
        <w:t xml:space="preserve"> Brand </w:t>
      </w:r>
      <w:proofErr w:type="spellStart"/>
      <w:r w:rsidR="00A801C1" w:rsidRPr="00A801C1">
        <w:rPr>
          <w:rStyle w:val="Brak"/>
          <w:rFonts w:ascii="Tahoma" w:hAnsi="Tahoma" w:cs="Tahoma"/>
          <w:color w:val="4F81BD"/>
          <w:kern w:val="16"/>
          <w:sz w:val="16"/>
          <w:szCs w:val="16"/>
          <w:lang w:val="pl-PL"/>
        </w:rPr>
        <w:t>Research</w:t>
      </w:r>
      <w:proofErr w:type="spellEnd"/>
      <w:r w:rsidR="00A801C1" w:rsidRPr="00A801C1">
        <w:rPr>
          <w:rStyle w:val="Brak"/>
          <w:rFonts w:ascii="Tahoma" w:hAnsi="Tahoma" w:cs="Tahoma"/>
          <w:color w:val="4F81BD"/>
          <w:kern w:val="16"/>
          <w:sz w:val="16"/>
          <w:szCs w:val="16"/>
          <w:lang w:val="pl-PL"/>
        </w:rPr>
        <w:t xml:space="preserve"> </w:t>
      </w:r>
      <w:r w:rsidR="00A801C1" w:rsidRPr="00A801C1">
        <w:rPr>
          <w:rStyle w:val="Brak"/>
          <w:rFonts w:ascii="Tahoma" w:hAnsi="Tahoma" w:cs="Tahoma"/>
          <w:color w:val="000000" w:themeColor="text1"/>
          <w:kern w:val="16"/>
          <w:sz w:val="16"/>
          <w:szCs w:val="16"/>
          <w:lang w:val="pl-PL"/>
        </w:rPr>
        <w:t>to reprezentatywne badanie marki pracodawcy opierające się na opiniach ogółu populacji. Na świecie odbywa się od 24 lat, natomiast w Polsce od 15 lat. W tym roku wzięło w nim udział ponad 173 000 respondentów (w Polsce było 6 794 respondentów), którzy ocenili atrakcyjność 6 084 firm na całym świecie i wskazywali czynniki, które wpływają na wybór miejsca zatrudnienia.</w:t>
      </w:r>
    </w:p>
    <w:p w14:paraId="0D5EE788" w14:textId="77777777" w:rsidR="00F41FAD" w:rsidRPr="00381077" w:rsidRDefault="00F41FAD" w:rsidP="00C60E86">
      <w:pPr>
        <w:spacing w:line="276" w:lineRule="auto"/>
        <w:ind w:left="851"/>
        <w:rPr>
          <w:rFonts w:ascii="Tahoma" w:hAnsi="Tahoma" w:cs="Tahoma"/>
          <w:sz w:val="16"/>
          <w:lang w:val="pl-PL"/>
        </w:rPr>
      </w:pPr>
    </w:p>
    <w:p w14:paraId="0CE50009" w14:textId="77777777" w:rsidR="00F41FAD" w:rsidRPr="00381077" w:rsidRDefault="00F41FAD" w:rsidP="00C60E86">
      <w:pPr>
        <w:spacing w:line="276" w:lineRule="auto"/>
        <w:rPr>
          <w:rStyle w:val="Brak"/>
          <w:rFonts w:ascii="Tahoma" w:eastAsia="Tahoma" w:hAnsi="Tahoma" w:cs="Tahoma"/>
          <w:color w:val="000000" w:themeColor="text1"/>
          <w:sz w:val="16"/>
          <w:szCs w:val="16"/>
          <w:lang w:val="pl-PL"/>
        </w:rPr>
      </w:pPr>
      <w:proofErr w:type="spellStart"/>
      <w:r w:rsidRPr="00381077">
        <w:rPr>
          <w:rStyle w:val="Brak"/>
          <w:rFonts w:ascii="Tahoma" w:eastAsia="Tahoma" w:hAnsi="Tahoma" w:cs="Tahoma"/>
          <w:color w:val="4F81BD"/>
          <w:sz w:val="16"/>
          <w:szCs w:val="16"/>
          <w:lang w:val="pl-PL"/>
        </w:rPr>
        <w:t>Randstad</w:t>
      </w:r>
      <w:proofErr w:type="spellEnd"/>
      <w:r w:rsidRPr="00381077">
        <w:rPr>
          <w:rStyle w:val="Brak"/>
          <w:rFonts w:ascii="Tahoma" w:eastAsia="Tahoma" w:hAnsi="Tahoma" w:cs="Tahoma"/>
          <w:color w:val="4F81BD"/>
          <w:sz w:val="16"/>
          <w:szCs w:val="16"/>
          <w:lang w:val="pl-PL"/>
        </w:rPr>
        <w:t xml:space="preserve"> Polska </w:t>
      </w:r>
      <w:r w:rsidRPr="00381077">
        <w:rPr>
          <w:rStyle w:val="Brak"/>
          <w:rFonts w:ascii="Tahoma" w:eastAsia="Tahoma" w:hAnsi="Tahoma" w:cs="Tahoma"/>
          <w:color w:val="000000" w:themeColor="text1"/>
          <w:sz w:val="16"/>
          <w:szCs w:val="16"/>
          <w:lang w:val="pl-PL"/>
        </w:rPr>
        <w:t xml:space="preserve">jest częścią </w:t>
      </w:r>
      <w:proofErr w:type="spellStart"/>
      <w:r w:rsidRPr="00381077">
        <w:rPr>
          <w:rStyle w:val="Brak"/>
          <w:rFonts w:ascii="Tahoma" w:eastAsia="Tahoma" w:hAnsi="Tahoma" w:cs="Tahoma"/>
          <w:color w:val="000000" w:themeColor="text1"/>
          <w:sz w:val="16"/>
          <w:szCs w:val="16"/>
          <w:lang w:val="pl-PL"/>
        </w:rPr>
        <w:t>Randstad</w:t>
      </w:r>
      <w:proofErr w:type="spellEnd"/>
      <w:r w:rsidRPr="00381077">
        <w:rPr>
          <w:rStyle w:val="Brak"/>
          <w:rFonts w:ascii="Tahoma" w:eastAsia="Tahoma" w:hAnsi="Tahoma" w:cs="Tahoma"/>
          <w:color w:val="000000" w:themeColor="text1"/>
          <w:sz w:val="16"/>
          <w:szCs w:val="16"/>
          <w:lang w:val="pl-PL"/>
        </w:rPr>
        <w:t xml:space="preserve"> N.V. – najbardziej wyspecjalizowanej firmy na świecie działającej na rzecz talentów, która dba o wyrównywanie szans. Działając w ramach czterech specjalizacji – </w:t>
      </w:r>
      <w:proofErr w:type="spellStart"/>
      <w:r w:rsidRPr="00381077">
        <w:rPr>
          <w:rStyle w:val="Brak"/>
          <w:rFonts w:ascii="Tahoma" w:eastAsia="Tahoma" w:hAnsi="Tahoma" w:cs="Tahoma"/>
          <w:color w:val="000000" w:themeColor="text1"/>
          <w:sz w:val="16"/>
          <w:szCs w:val="16"/>
          <w:lang w:val="pl-PL"/>
        </w:rPr>
        <w:t>Operational</w:t>
      </w:r>
      <w:proofErr w:type="spellEnd"/>
      <w:r w:rsidRPr="00381077">
        <w:rPr>
          <w:rStyle w:val="Brak"/>
          <w:rFonts w:ascii="Tahoma" w:eastAsia="Tahoma" w:hAnsi="Tahoma" w:cs="Tahoma"/>
          <w:color w:val="000000" w:themeColor="text1"/>
          <w:sz w:val="16"/>
          <w:szCs w:val="16"/>
          <w:lang w:val="pl-PL"/>
        </w:rPr>
        <w:t>, Professional, Digital i Enterprise – zapewniamy firmom wykwalifikowane, zróżnicowane i elastyczne zespoły, które wspierają ich w osiąganiu biznesowych sukcesów w świecie deficytu talentów. Poszukujących zatrudnienia wspieramy w zdobywaniu ważnych dla nich ról zawodowych, rozwoju właściwych kompetencji, odnajdywaniu celu i poczucia przynależności w miejscu pracy. Jesteśmy zaangażowani w budowanie lepszej i bardziej zrównoważonej przyszłości dla nas wszystkich.</w:t>
      </w:r>
      <w:r w:rsidRPr="00381077">
        <w:rPr>
          <w:rStyle w:val="Brak"/>
          <w:rFonts w:ascii="Tahoma" w:eastAsia="Tahoma" w:hAnsi="Tahoma" w:cs="Tahoma"/>
          <w:color w:val="000000" w:themeColor="text1"/>
          <w:sz w:val="16"/>
          <w:szCs w:val="16"/>
          <w:lang w:val="pl-PL"/>
        </w:rPr>
        <w:br/>
      </w:r>
    </w:p>
    <w:p w14:paraId="1537810F" w14:textId="7D54D0A8" w:rsidR="00F41FAD" w:rsidRPr="00381077" w:rsidRDefault="00F41FAD" w:rsidP="00C60E86">
      <w:pPr>
        <w:spacing w:line="276" w:lineRule="auto"/>
        <w:rPr>
          <w:rStyle w:val="Brak"/>
          <w:rFonts w:ascii="Tahoma" w:hAnsi="Tahoma" w:cs="Tahoma"/>
          <w:color w:val="4F81BD"/>
          <w:kern w:val="16"/>
          <w:u w:color="4F81BD"/>
          <w:lang w:val="pl-PL"/>
        </w:rPr>
      </w:pPr>
      <w:r w:rsidRPr="00381077">
        <w:rPr>
          <w:rStyle w:val="Brak"/>
          <w:rFonts w:ascii="Tahoma" w:eastAsia="Tahoma" w:hAnsi="Tahoma" w:cs="Tahoma"/>
          <w:color w:val="000000" w:themeColor="text1"/>
          <w:sz w:val="16"/>
          <w:szCs w:val="16"/>
          <w:lang w:val="pl-PL"/>
        </w:rPr>
        <w:t xml:space="preserve">W </w:t>
      </w:r>
      <w:proofErr w:type="spellStart"/>
      <w:r w:rsidRPr="00381077">
        <w:rPr>
          <w:rStyle w:val="Brak"/>
          <w:rFonts w:ascii="Tahoma" w:eastAsia="Tahoma" w:hAnsi="Tahoma" w:cs="Tahoma"/>
          <w:color w:val="000000" w:themeColor="text1"/>
          <w:sz w:val="16"/>
          <w:szCs w:val="16"/>
          <w:lang w:val="pl-PL"/>
        </w:rPr>
        <w:t>Randstad</w:t>
      </w:r>
      <w:proofErr w:type="spellEnd"/>
      <w:r w:rsidRPr="00381077">
        <w:rPr>
          <w:rStyle w:val="Brak"/>
          <w:rFonts w:ascii="Tahoma" w:eastAsia="Tahoma" w:hAnsi="Tahoma" w:cs="Tahoma"/>
          <w:color w:val="000000" w:themeColor="text1"/>
          <w:sz w:val="16"/>
          <w:szCs w:val="16"/>
          <w:lang w:val="pl-PL"/>
        </w:rPr>
        <w:t xml:space="preserve"> działamy globalnie – na 39 rynkach świata, ale także lokalnie, wspierając talenty i klientów w blisko 100 biurach w Polsce.</w:t>
      </w:r>
    </w:p>
    <w:p w14:paraId="59FB4DCF" w14:textId="77777777" w:rsidR="00EC6114" w:rsidRPr="00381077" w:rsidRDefault="00EC6114" w:rsidP="00C60E86">
      <w:pPr>
        <w:pStyle w:val="HeaderAddress"/>
        <w:spacing w:line="276" w:lineRule="auto"/>
        <w:rPr>
          <w:rStyle w:val="Brak"/>
          <w:kern w:val="16"/>
          <w:lang w:val="pl-PL"/>
        </w:rPr>
      </w:pPr>
    </w:p>
    <w:p w14:paraId="18E4E886" w14:textId="77777777" w:rsidR="00EC6114" w:rsidRPr="00381077" w:rsidRDefault="00EC6114" w:rsidP="00C60E86">
      <w:pPr>
        <w:pStyle w:val="HeaderAddress"/>
        <w:spacing w:line="276" w:lineRule="auto"/>
        <w:rPr>
          <w:lang w:val="pl-PL"/>
        </w:rPr>
      </w:pPr>
      <w:r w:rsidRPr="00381077">
        <w:rPr>
          <w:rStyle w:val="Brak"/>
          <w:kern w:val="16"/>
          <w:lang w:val="pl-PL"/>
        </w:rPr>
        <w:t xml:space="preserve">Więcej informacji o firmie: </w:t>
      </w:r>
      <w:hyperlink r:id="rId11" w:history="1">
        <w:r w:rsidRPr="00381077">
          <w:rPr>
            <w:rStyle w:val="Hyperlink1"/>
            <w:lang w:val="pl-PL"/>
          </w:rPr>
          <w:t>www.randstad.pl</w:t>
        </w:r>
      </w:hyperlink>
    </w:p>
    <w:p w14:paraId="1F43DC4D" w14:textId="23F1AA21" w:rsidR="005F07BC" w:rsidRPr="00381077" w:rsidRDefault="005F07BC" w:rsidP="00204078">
      <w:pPr>
        <w:pStyle w:val="HeaderAddress"/>
        <w:spacing w:line="276" w:lineRule="auto"/>
        <w:jc w:val="both"/>
        <w:rPr>
          <w:lang w:val="pl-PL"/>
        </w:rPr>
      </w:pPr>
    </w:p>
    <w:sectPr w:rsidR="005F07BC" w:rsidRPr="00381077" w:rsidSect="0035569F">
      <w:headerReference w:type="default" r:id="rId12"/>
      <w:footerReference w:type="default" r:id="rId13"/>
      <w:headerReference w:type="first" r:id="rId14"/>
      <w:footerReference w:type="first" r:id="rId15"/>
      <w:pgSz w:w="11900" w:h="16840"/>
      <w:pgMar w:top="426" w:right="991" w:bottom="1276" w:left="2552" w:header="709" w:footer="6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11218" w14:textId="77777777" w:rsidR="008466BD" w:rsidRDefault="008466BD">
      <w:r>
        <w:separator/>
      </w:r>
    </w:p>
  </w:endnote>
  <w:endnote w:type="continuationSeparator" w:id="0">
    <w:p w14:paraId="6429823D" w14:textId="77777777" w:rsidR="008466BD" w:rsidRDefault="0084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Tahoma Bold">
    <w:altName w:val="Times New Roman"/>
    <w:charset w:val="01"/>
    <w:family w:val="auto"/>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0841" w14:textId="77777777" w:rsidR="00976D85" w:rsidRPr="00381077" w:rsidRDefault="00976D85">
    <w:pPr>
      <w:pStyle w:val="Stopka1"/>
      <w:tabs>
        <w:tab w:val="clear" w:pos="9072"/>
        <w:tab w:val="right" w:pos="8337"/>
      </w:tabs>
      <w:jc w:val="right"/>
      <w:rPr>
        <w:rFonts w:cs="Tahoma"/>
      </w:rPr>
    </w:pPr>
    <w:r w:rsidRPr="00381077">
      <w:rPr>
        <w:rStyle w:val="BrakB"/>
        <w:rFonts w:cs="Tahoma"/>
      </w:rPr>
      <w:t xml:space="preserve">Strona </w:t>
    </w:r>
    <w:r w:rsidRPr="00381077">
      <w:rPr>
        <w:rFonts w:eastAsia="Tahoma Bold" w:cs="Tahoma"/>
      </w:rPr>
      <w:fldChar w:fldCharType="begin"/>
    </w:r>
    <w:r w:rsidRPr="00381077">
      <w:rPr>
        <w:rFonts w:eastAsia="Tahoma Bold" w:cs="Tahoma"/>
      </w:rPr>
      <w:instrText xml:space="preserve"> PAGE </w:instrText>
    </w:r>
    <w:r w:rsidRPr="00381077">
      <w:rPr>
        <w:rFonts w:eastAsia="Tahoma Bold" w:cs="Tahoma"/>
      </w:rPr>
      <w:fldChar w:fldCharType="separate"/>
    </w:r>
    <w:r w:rsidR="00A151FA">
      <w:rPr>
        <w:rFonts w:eastAsia="Tahoma Bold" w:cs="Tahoma"/>
        <w:noProof/>
      </w:rPr>
      <w:t>3</w:t>
    </w:r>
    <w:r w:rsidRPr="00381077">
      <w:rPr>
        <w:rFonts w:eastAsia="Tahoma Bold" w:cs="Tahoma"/>
      </w:rPr>
      <w:fldChar w:fldCharType="end"/>
    </w:r>
    <w:r w:rsidRPr="00381077">
      <w:rPr>
        <w:rStyle w:val="BrakB"/>
        <w:rFonts w:cs="Tahoma"/>
      </w:rPr>
      <w:t xml:space="preserve"> z </w:t>
    </w:r>
    <w:r w:rsidRPr="00381077">
      <w:rPr>
        <w:rFonts w:eastAsia="Tahoma Bold" w:cs="Tahoma"/>
      </w:rPr>
      <w:fldChar w:fldCharType="begin"/>
    </w:r>
    <w:r w:rsidRPr="00381077">
      <w:rPr>
        <w:rFonts w:eastAsia="Tahoma Bold" w:cs="Tahoma"/>
      </w:rPr>
      <w:instrText xml:space="preserve"> NUMPAGES </w:instrText>
    </w:r>
    <w:r w:rsidRPr="00381077">
      <w:rPr>
        <w:rFonts w:eastAsia="Tahoma Bold" w:cs="Tahoma"/>
      </w:rPr>
      <w:fldChar w:fldCharType="separate"/>
    </w:r>
    <w:r w:rsidR="00A151FA">
      <w:rPr>
        <w:rFonts w:eastAsia="Tahoma Bold" w:cs="Tahoma"/>
        <w:noProof/>
      </w:rPr>
      <w:t>3</w:t>
    </w:r>
    <w:r w:rsidRPr="00381077">
      <w:rPr>
        <w:rFonts w:eastAsia="Tahoma Bold" w:cs="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1609" w14:textId="751E9105" w:rsidR="00976D85" w:rsidRPr="00381077" w:rsidRDefault="00381077" w:rsidP="00381077">
    <w:pPr>
      <w:pStyle w:val="Stopka1"/>
      <w:tabs>
        <w:tab w:val="clear" w:pos="9072"/>
        <w:tab w:val="left" w:pos="6900"/>
        <w:tab w:val="right" w:pos="8357"/>
      </w:tabs>
      <w:rPr>
        <w:rFonts w:cs="Tahoma"/>
      </w:rPr>
    </w:pPr>
    <w:r w:rsidRPr="00381077">
      <w:rPr>
        <w:rStyle w:val="BrakB"/>
        <w:rFonts w:cs="Tahoma"/>
      </w:rPr>
      <w:tab/>
    </w:r>
    <w:r w:rsidRPr="00381077">
      <w:rPr>
        <w:rStyle w:val="BrakB"/>
        <w:rFonts w:cs="Tahoma"/>
      </w:rPr>
      <w:tab/>
    </w:r>
    <w:r w:rsidRPr="00381077">
      <w:rPr>
        <w:rStyle w:val="BrakB"/>
        <w:rFonts w:cs="Tahoma"/>
      </w:rPr>
      <w:tab/>
    </w:r>
    <w:r w:rsidR="00976D85" w:rsidRPr="00381077">
      <w:rPr>
        <w:rStyle w:val="BrakB"/>
        <w:rFonts w:cs="Tahoma"/>
      </w:rPr>
      <w:t xml:space="preserve">Strona </w:t>
    </w:r>
    <w:r w:rsidR="00976D85" w:rsidRPr="00381077">
      <w:rPr>
        <w:rFonts w:eastAsia="Tahoma Bold" w:cs="Tahoma"/>
      </w:rPr>
      <w:fldChar w:fldCharType="begin"/>
    </w:r>
    <w:r w:rsidR="00976D85" w:rsidRPr="00381077">
      <w:rPr>
        <w:rFonts w:eastAsia="Tahoma Bold" w:cs="Tahoma"/>
      </w:rPr>
      <w:instrText xml:space="preserve"> PAGE </w:instrText>
    </w:r>
    <w:r w:rsidR="00976D85" w:rsidRPr="00381077">
      <w:rPr>
        <w:rFonts w:eastAsia="Tahoma Bold" w:cs="Tahoma"/>
      </w:rPr>
      <w:fldChar w:fldCharType="separate"/>
    </w:r>
    <w:r w:rsidR="00A151FA">
      <w:rPr>
        <w:rFonts w:eastAsia="Tahoma Bold" w:cs="Tahoma"/>
        <w:noProof/>
      </w:rPr>
      <w:t>1</w:t>
    </w:r>
    <w:r w:rsidR="00976D85" w:rsidRPr="00381077">
      <w:rPr>
        <w:rFonts w:eastAsia="Tahoma Bold" w:cs="Tahoma"/>
      </w:rPr>
      <w:fldChar w:fldCharType="end"/>
    </w:r>
    <w:r w:rsidR="00976D85" w:rsidRPr="00381077">
      <w:rPr>
        <w:rStyle w:val="BrakB"/>
        <w:rFonts w:cs="Tahoma"/>
      </w:rPr>
      <w:t xml:space="preserve"> z </w:t>
    </w:r>
    <w:r w:rsidR="00976D85" w:rsidRPr="00381077">
      <w:rPr>
        <w:rFonts w:eastAsia="Tahoma Bold" w:cs="Tahoma"/>
      </w:rPr>
      <w:fldChar w:fldCharType="begin"/>
    </w:r>
    <w:r w:rsidR="00976D85" w:rsidRPr="00381077">
      <w:rPr>
        <w:rFonts w:eastAsia="Tahoma Bold" w:cs="Tahoma"/>
      </w:rPr>
      <w:instrText xml:space="preserve"> NUMPAGES </w:instrText>
    </w:r>
    <w:r w:rsidR="00976D85" w:rsidRPr="00381077">
      <w:rPr>
        <w:rFonts w:eastAsia="Tahoma Bold" w:cs="Tahoma"/>
      </w:rPr>
      <w:fldChar w:fldCharType="separate"/>
    </w:r>
    <w:r w:rsidR="00A151FA">
      <w:rPr>
        <w:rFonts w:eastAsia="Tahoma Bold" w:cs="Tahoma"/>
        <w:noProof/>
      </w:rPr>
      <w:t>3</w:t>
    </w:r>
    <w:r w:rsidR="00976D85" w:rsidRPr="00381077">
      <w:rPr>
        <w:rFonts w:eastAsia="Tahoma Bold"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03A95" w14:textId="77777777" w:rsidR="008466BD" w:rsidRDefault="008466BD">
      <w:r>
        <w:separator/>
      </w:r>
    </w:p>
  </w:footnote>
  <w:footnote w:type="continuationSeparator" w:id="0">
    <w:p w14:paraId="63EF8EEE" w14:textId="77777777" w:rsidR="008466BD" w:rsidRDefault="0084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DB92" w14:textId="77777777" w:rsidR="00976D85" w:rsidRDefault="00976D85">
    <w:pPr>
      <w:pStyle w:val="Nagwekistopka"/>
      <w:tabs>
        <w:tab w:val="clear" w:pos="9020"/>
        <w:tab w:val="right" w:pos="8337"/>
      </w:tabs>
    </w:pPr>
    <w:r>
      <w:rPr>
        <w:noProof/>
        <w:lang w:val="pl-PL" w:eastAsia="pl-PL"/>
      </w:rPr>
      <mc:AlternateContent>
        <mc:Choice Requires="wps">
          <w:drawing>
            <wp:anchor distT="152400" distB="152400" distL="152400" distR="152400" simplePos="0" relativeHeight="251656704" behindDoc="1" locked="0" layoutInCell="1" allowOverlap="1" wp14:anchorId="402A777A" wp14:editId="383647A8">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0DD151D1">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F7E5" w14:textId="77777777" w:rsidR="00976D85" w:rsidRDefault="00976D85">
    <w:pPr>
      <w:pStyle w:val="Nagwek1"/>
      <w:tabs>
        <w:tab w:val="clear" w:pos="9072"/>
        <w:tab w:val="right" w:pos="8337"/>
      </w:tabs>
    </w:pPr>
    <w:r>
      <w:rPr>
        <w:noProof/>
        <w:lang w:val="pl-PL" w:eastAsia="pl-PL"/>
      </w:rPr>
      <mc:AlternateContent>
        <mc:Choice Requires="wps">
          <w:drawing>
            <wp:anchor distT="152400" distB="152400" distL="152400" distR="152400" simplePos="0" relativeHeight="251657728" behindDoc="1" locked="0" layoutInCell="1" allowOverlap="1" wp14:anchorId="1567C4B0" wp14:editId="05D8673A">
              <wp:simplePos x="0" y="0"/>
              <wp:positionH relativeFrom="page">
                <wp:align>right</wp:align>
              </wp:positionH>
              <wp:positionV relativeFrom="page">
                <wp:align>top</wp:align>
              </wp:positionV>
              <wp:extent cx="7556500" cy="10693400"/>
              <wp:effectExtent l="0" t="0" r="635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http://schemas.openxmlformats.org/drawingml/2006/main">
          <w:pict w14:anchorId="70C329C9">
            <v:roundrect id="officeArt object" style="position:absolute;margin-left:543.8pt;margin-top:0;width:595pt;height:842pt;z-index:-251658752;visibility:visible;mso-wrap-style:square;mso-wrap-distance-left:12pt;mso-wrap-distance-top:12pt;mso-wrap-distance-right:12pt;mso-wrap-distance-bottom:12pt;mso-position-horizontal:right;mso-position-horizontal-relative:page;mso-position-vertical:top;mso-position-vertical-relative:page;v-text-anchor:top" o:spid="_x0000_s1026" stroked="f" strokeweight="1pt" arcsize="0" w14:anchorId="11644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48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S04&#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BQqJ48ygEAAH8DAAAOAAAAAAAA&#10;AAAAAAAAAC4CAABkcnMvZTJvRG9jLnhtbFBLAQItABQABgAIAAAAIQBE21B53AAAAAcBAAAPAAAA&#10;AAAAAAAAAAAAACQEAABkcnMvZG93bnJldi54bWxQSwUGAAAAAAQABADzAAAALQUAAAAA&#10;">
              <v:stroke miterlimit="4" joinstyle="miter"/>
              <w10:wrap anchorx="page" anchory="page"/>
            </v:roundrect>
          </w:pict>
        </mc:Fallback>
      </mc:AlternateContent>
    </w:r>
    <w:r>
      <w:rPr>
        <w:noProof/>
        <w:lang w:val="pl-PL" w:eastAsia="pl-PL"/>
      </w:rPr>
      <w:drawing>
        <wp:anchor distT="152400" distB="152400" distL="152400" distR="152400" simplePos="0" relativeHeight="251658752" behindDoc="1" locked="0" layoutInCell="1" allowOverlap="1" wp14:anchorId="6A422B34" wp14:editId="07806946">
          <wp:simplePos x="0" y="0"/>
          <wp:positionH relativeFrom="page">
            <wp:posOffset>4511675</wp:posOffset>
          </wp:positionH>
          <wp:positionV relativeFrom="page">
            <wp:posOffset>383540</wp:posOffset>
          </wp:positionV>
          <wp:extent cx="2781300" cy="695325"/>
          <wp:effectExtent l="0" t="0" r="0" b="0"/>
          <wp:wrapNone/>
          <wp:docPr id="9" name="officeArt object" descr="Randstad logo_main_large.png"/>
          <wp:cNvGraphicFramePr/>
          <a:graphic xmlns:a="http://schemas.openxmlformats.org/drawingml/2006/main">
            <a:graphicData uri="http://schemas.openxmlformats.org/drawingml/2006/picture">
              <pic:pic xmlns:pic="http://schemas.openxmlformats.org/drawingml/2006/picture">
                <pic:nvPicPr>
                  <pic:cNvPr id="1073741827" name="Randstad logo_main_large.png" descr="Randstad logo_main_large.png"/>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BC"/>
    <w:rsid w:val="00003FE1"/>
    <w:rsid w:val="00010C3C"/>
    <w:rsid w:val="000134D6"/>
    <w:rsid w:val="00022875"/>
    <w:rsid w:val="000268DF"/>
    <w:rsid w:val="00031078"/>
    <w:rsid w:val="00043630"/>
    <w:rsid w:val="000A0366"/>
    <w:rsid w:val="000C51CB"/>
    <w:rsid w:val="000D2386"/>
    <w:rsid w:val="00121A37"/>
    <w:rsid w:val="001304D7"/>
    <w:rsid w:val="0013077C"/>
    <w:rsid w:val="00130B47"/>
    <w:rsid w:val="0013373E"/>
    <w:rsid w:val="00142FAE"/>
    <w:rsid w:val="00146816"/>
    <w:rsid w:val="00147CD0"/>
    <w:rsid w:val="0016511E"/>
    <w:rsid w:val="001659BF"/>
    <w:rsid w:val="00175342"/>
    <w:rsid w:val="00177702"/>
    <w:rsid w:val="00177D80"/>
    <w:rsid w:val="00180B5F"/>
    <w:rsid w:val="001846AC"/>
    <w:rsid w:val="00186E9C"/>
    <w:rsid w:val="001A5D37"/>
    <w:rsid w:val="001A7186"/>
    <w:rsid w:val="001C36C1"/>
    <w:rsid w:val="001D0594"/>
    <w:rsid w:val="001D64D3"/>
    <w:rsid w:val="001E4587"/>
    <w:rsid w:val="001E4F6E"/>
    <w:rsid w:val="001F04D6"/>
    <w:rsid w:val="001F35B2"/>
    <w:rsid w:val="00204078"/>
    <w:rsid w:val="0021104B"/>
    <w:rsid w:val="00214F06"/>
    <w:rsid w:val="00215D40"/>
    <w:rsid w:val="00224D71"/>
    <w:rsid w:val="002331E8"/>
    <w:rsid w:val="00234766"/>
    <w:rsid w:val="00240296"/>
    <w:rsid w:val="00246395"/>
    <w:rsid w:val="0025451F"/>
    <w:rsid w:val="00264333"/>
    <w:rsid w:val="00265F1C"/>
    <w:rsid w:val="002A4EA1"/>
    <w:rsid w:val="002A56EE"/>
    <w:rsid w:val="002B0F9D"/>
    <w:rsid w:val="002B483D"/>
    <w:rsid w:val="002C0215"/>
    <w:rsid w:val="002C6A66"/>
    <w:rsid w:val="002D240D"/>
    <w:rsid w:val="002D5430"/>
    <w:rsid w:val="002D7F8F"/>
    <w:rsid w:val="002E46DB"/>
    <w:rsid w:val="002F43FF"/>
    <w:rsid w:val="00303853"/>
    <w:rsid w:val="003070A3"/>
    <w:rsid w:val="00310AFE"/>
    <w:rsid w:val="00317ECB"/>
    <w:rsid w:val="003242A2"/>
    <w:rsid w:val="003337FE"/>
    <w:rsid w:val="00341C25"/>
    <w:rsid w:val="003510DC"/>
    <w:rsid w:val="00351125"/>
    <w:rsid w:val="00353299"/>
    <w:rsid w:val="0035569F"/>
    <w:rsid w:val="00360301"/>
    <w:rsid w:val="003643EA"/>
    <w:rsid w:val="00365DE3"/>
    <w:rsid w:val="00370906"/>
    <w:rsid w:val="003742E1"/>
    <w:rsid w:val="00375D6F"/>
    <w:rsid w:val="0037644F"/>
    <w:rsid w:val="00381077"/>
    <w:rsid w:val="00381B08"/>
    <w:rsid w:val="003840BF"/>
    <w:rsid w:val="0038454C"/>
    <w:rsid w:val="003A7E5E"/>
    <w:rsid w:val="003B0A28"/>
    <w:rsid w:val="003B6924"/>
    <w:rsid w:val="003C0914"/>
    <w:rsid w:val="003D0BB8"/>
    <w:rsid w:val="003D0C5C"/>
    <w:rsid w:val="003D3AF4"/>
    <w:rsid w:val="003F0255"/>
    <w:rsid w:val="003F5152"/>
    <w:rsid w:val="003F6134"/>
    <w:rsid w:val="00404678"/>
    <w:rsid w:val="004158BC"/>
    <w:rsid w:val="00416F9A"/>
    <w:rsid w:val="0042001B"/>
    <w:rsid w:val="0043115F"/>
    <w:rsid w:val="00432660"/>
    <w:rsid w:val="00433D10"/>
    <w:rsid w:val="0045606A"/>
    <w:rsid w:val="0046172B"/>
    <w:rsid w:val="00463852"/>
    <w:rsid w:val="004748DE"/>
    <w:rsid w:val="0048147D"/>
    <w:rsid w:val="00487C9A"/>
    <w:rsid w:val="004B544D"/>
    <w:rsid w:val="004D1AAA"/>
    <w:rsid w:val="004D794C"/>
    <w:rsid w:val="004E24EE"/>
    <w:rsid w:val="004E32F0"/>
    <w:rsid w:val="004F3B0C"/>
    <w:rsid w:val="004F6E10"/>
    <w:rsid w:val="005019D4"/>
    <w:rsid w:val="005062BC"/>
    <w:rsid w:val="00514063"/>
    <w:rsid w:val="00520BBB"/>
    <w:rsid w:val="005276CD"/>
    <w:rsid w:val="0053471A"/>
    <w:rsid w:val="00547BD9"/>
    <w:rsid w:val="00547E5E"/>
    <w:rsid w:val="00577735"/>
    <w:rsid w:val="0058205A"/>
    <w:rsid w:val="00584612"/>
    <w:rsid w:val="005859C5"/>
    <w:rsid w:val="00597CEE"/>
    <w:rsid w:val="005A7FE7"/>
    <w:rsid w:val="005B1C23"/>
    <w:rsid w:val="005C06ED"/>
    <w:rsid w:val="005C0B78"/>
    <w:rsid w:val="005D54B6"/>
    <w:rsid w:val="005E6669"/>
    <w:rsid w:val="005E7F1A"/>
    <w:rsid w:val="005F07BC"/>
    <w:rsid w:val="005F3239"/>
    <w:rsid w:val="005F39B8"/>
    <w:rsid w:val="005F5D54"/>
    <w:rsid w:val="00605543"/>
    <w:rsid w:val="00610B7D"/>
    <w:rsid w:val="0061581B"/>
    <w:rsid w:val="00621FAD"/>
    <w:rsid w:val="006241DF"/>
    <w:rsid w:val="00631479"/>
    <w:rsid w:val="006320D8"/>
    <w:rsid w:val="0063370F"/>
    <w:rsid w:val="006579BA"/>
    <w:rsid w:val="00675B90"/>
    <w:rsid w:val="006802EC"/>
    <w:rsid w:val="00693603"/>
    <w:rsid w:val="00697EEB"/>
    <w:rsid w:val="006B6A7C"/>
    <w:rsid w:val="006D3618"/>
    <w:rsid w:val="006F4B4E"/>
    <w:rsid w:val="006F590D"/>
    <w:rsid w:val="00700FEB"/>
    <w:rsid w:val="00707155"/>
    <w:rsid w:val="00707825"/>
    <w:rsid w:val="00721CCD"/>
    <w:rsid w:val="00723A36"/>
    <w:rsid w:val="00723D42"/>
    <w:rsid w:val="00736DA3"/>
    <w:rsid w:val="007542C0"/>
    <w:rsid w:val="00763AC6"/>
    <w:rsid w:val="00764CC4"/>
    <w:rsid w:val="0076701C"/>
    <w:rsid w:val="0077048E"/>
    <w:rsid w:val="0077209F"/>
    <w:rsid w:val="0077234A"/>
    <w:rsid w:val="00773998"/>
    <w:rsid w:val="0078311F"/>
    <w:rsid w:val="0078545A"/>
    <w:rsid w:val="00790E02"/>
    <w:rsid w:val="00797C9E"/>
    <w:rsid w:val="007A2C0F"/>
    <w:rsid w:val="007A6606"/>
    <w:rsid w:val="007B0168"/>
    <w:rsid w:val="007B11D0"/>
    <w:rsid w:val="007B5969"/>
    <w:rsid w:val="007B636C"/>
    <w:rsid w:val="007C5CE4"/>
    <w:rsid w:val="007C6562"/>
    <w:rsid w:val="007E2DBF"/>
    <w:rsid w:val="007E321F"/>
    <w:rsid w:val="007F0169"/>
    <w:rsid w:val="007F0276"/>
    <w:rsid w:val="00803A88"/>
    <w:rsid w:val="008045F5"/>
    <w:rsid w:val="0081086C"/>
    <w:rsid w:val="00813DE5"/>
    <w:rsid w:val="008236A9"/>
    <w:rsid w:val="00824D78"/>
    <w:rsid w:val="00836116"/>
    <w:rsid w:val="008466BD"/>
    <w:rsid w:val="00853636"/>
    <w:rsid w:val="00860003"/>
    <w:rsid w:val="00864817"/>
    <w:rsid w:val="008660FC"/>
    <w:rsid w:val="00870BD0"/>
    <w:rsid w:val="008A192E"/>
    <w:rsid w:val="008A2A9C"/>
    <w:rsid w:val="008A2B8B"/>
    <w:rsid w:val="008C7897"/>
    <w:rsid w:val="008D0974"/>
    <w:rsid w:val="008E2C56"/>
    <w:rsid w:val="008F1184"/>
    <w:rsid w:val="008F46B0"/>
    <w:rsid w:val="008F61BE"/>
    <w:rsid w:val="009219AA"/>
    <w:rsid w:val="00922553"/>
    <w:rsid w:val="00925B4D"/>
    <w:rsid w:val="009340B6"/>
    <w:rsid w:val="00935D82"/>
    <w:rsid w:val="0093775D"/>
    <w:rsid w:val="009446B1"/>
    <w:rsid w:val="00952F8E"/>
    <w:rsid w:val="00962484"/>
    <w:rsid w:val="00975A4A"/>
    <w:rsid w:val="00976D85"/>
    <w:rsid w:val="00983185"/>
    <w:rsid w:val="0099683F"/>
    <w:rsid w:val="009B0B08"/>
    <w:rsid w:val="009B33CD"/>
    <w:rsid w:val="009C4F7D"/>
    <w:rsid w:val="009C6A6E"/>
    <w:rsid w:val="009F4350"/>
    <w:rsid w:val="009F5AEE"/>
    <w:rsid w:val="00A151FA"/>
    <w:rsid w:val="00A155BA"/>
    <w:rsid w:val="00A16205"/>
    <w:rsid w:val="00A21348"/>
    <w:rsid w:val="00A2303D"/>
    <w:rsid w:val="00A2577A"/>
    <w:rsid w:val="00A35425"/>
    <w:rsid w:val="00A633EF"/>
    <w:rsid w:val="00A66A6F"/>
    <w:rsid w:val="00A801C1"/>
    <w:rsid w:val="00A87157"/>
    <w:rsid w:val="00A955C1"/>
    <w:rsid w:val="00A96764"/>
    <w:rsid w:val="00A96AAD"/>
    <w:rsid w:val="00A97AA3"/>
    <w:rsid w:val="00A97EF0"/>
    <w:rsid w:val="00AB05F3"/>
    <w:rsid w:val="00AB3B20"/>
    <w:rsid w:val="00AD0572"/>
    <w:rsid w:val="00AF4FBF"/>
    <w:rsid w:val="00AF5B08"/>
    <w:rsid w:val="00B0099F"/>
    <w:rsid w:val="00B00CE0"/>
    <w:rsid w:val="00B15410"/>
    <w:rsid w:val="00B37168"/>
    <w:rsid w:val="00B51A74"/>
    <w:rsid w:val="00B63B65"/>
    <w:rsid w:val="00B6615D"/>
    <w:rsid w:val="00B7417F"/>
    <w:rsid w:val="00B800AA"/>
    <w:rsid w:val="00B83123"/>
    <w:rsid w:val="00B84D73"/>
    <w:rsid w:val="00B95AAA"/>
    <w:rsid w:val="00BA0DA7"/>
    <w:rsid w:val="00BA7147"/>
    <w:rsid w:val="00BC4927"/>
    <w:rsid w:val="00BD4E30"/>
    <w:rsid w:val="00BF2FB8"/>
    <w:rsid w:val="00BF543E"/>
    <w:rsid w:val="00C05314"/>
    <w:rsid w:val="00C14045"/>
    <w:rsid w:val="00C26E31"/>
    <w:rsid w:val="00C27EAD"/>
    <w:rsid w:val="00C313B6"/>
    <w:rsid w:val="00C410C3"/>
    <w:rsid w:val="00C44FA1"/>
    <w:rsid w:val="00C46260"/>
    <w:rsid w:val="00C54DCB"/>
    <w:rsid w:val="00C60E86"/>
    <w:rsid w:val="00C665E3"/>
    <w:rsid w:val="00C73E88"/>
    <w:rsid w:val="00C75950"/>
    <w:rsid w:val="00C868C8"/>
    <w:rsid w:val="00C921DD"/>
    <w:rsid w:val="00C9419D"/>
    <w:rsid w:val="00CB0713"/>
    <w:rsid w:val="00CB5CE7"/>
    <w:rsid w:val="00CC5255"/>
    <w:rsid w:val="00CC6F38"/>
    <w:rsid w:val="00CE2471"/>
    <w:rsid w:val="00CF21DC"/>
    <w:rsid w:val="00CF4154"/>
    <w:rsid w:val="00CF4426"/>
    <w:rsid w:val="00D02AA5"/>
    <w:rsid w:val="00D13D18"/>
    <w:rsid w:val="00D277F5"/>
    <w:rsid w:val="00D42F73"/>
    <w:rsid w:val="00D46108"/>
    <w:rsid w:val="00D47C99"/>
    <w:rsid w:val="00D5076F"/>
    <w:rsid w:val="00D50ABE"/>
    <w:rsid w:val="00D51025"/>
    <w:rsid w:val="00D67E4E"/>
    <w:rsid w:val="00D72017"/>
    <w:rsid w:val="00D81560"/>
    <w:rsid w:val="00D85F1F"/>
    <w:rsid w:val="00D927FA"/>
    <w:rsid w:val="00D9735B"/>
    <w:rsid w:val="00DB463B"/>
    <w:rsid w:val="00DB7733"/>
    <w:rsid w:val="00DB7BD8"/>
    <w:rsid w:val="00DD3BDD"/>
    <w:rsid w:val="00DD5993"/>
    <w:rsid w:val="00DD5B6D"/>
    <w:rsid w:val="00DE2530"/>
    <w:rsid w:val="00DE3A66"/>
    <w:rsid w:val="00DF38BC"/>
    <w:rsid w:val="00E01A19"/>
    <w:rsid w:val="00E151AE"/>
    <w:rsid w:val="00E15FAC"/>
    <w:rsid w:val="00E27618"/>
    <w:rsid w:val="00E33574"/>
    <w:rsid w:val="00E50324"/>
    <w:rsid w:val="00E5504D"/>
    <w:rsid w:val="00E677E3"/>
    <w:rsid w:val="00E71E6E"/>
    <w:rsid w:val="00E7548A"/>
    <w:rsid w:val="00E76F55"/>
    <w:rsid w:val="00E81BFD"/>
    <w:rsid w:val="00E837A2"/>
    <w:rsid w:val="00E870CF"/>
    <w:rsid w:val="00E90F83"/>
    <w:rsid w:val="00E94A77"/>
    <w:rsid w:val="00E9531B"/>
    <w:rsid w:val="00E977BB"/>
    <w:rsid w:val="00EAB523"/>
    <w:rsid w:val="00EB79D5"/>
    <w:rsid w:val="00EC6114"/>
    <w:rsid w:val="00ED5A4B"/>
    <w:rsid w:val="00EE68C6"/>
    <w:rsid w:val="00EE7EFD"/>
    <w:rsid w:val="00EF0263"/>
    <w:rsid w:val="00EF149E"/>
    <w:rsid w:val="00EF2FFC"/>
    <w:rsid w:val="00F0219E"/>
    <w:rsid w:val="00F12DF5"/>
    <w:rsid w:val="00F17AFA"/>
    <w:rsid w:val="00F2106B"/>
    <w:rsid w:val="00F35750"/>
    <w:rsid w:val="00F37268"/>
    <w:rsid w:val="00F40DA2"/>
    <w:rsid w:val="00F41FAD"/>
    <w:rsid w:val="00F50789"/>
    <w:rsid w:val="00F53A39"/>
    <w:rsid w:val="00F54AE7"/>
    <w:rsid w:val="00F56CC3"/>
    <w:rsid w:val="00F65F0E"/>
    <w:rsid w:val="00F73F67"/>
    <w:rsid w:val="00F77432"/>
    <w:rsid w:val="00F834A0"/>
    <w:rsid w:val="00F90D20"/>
    <w:rsid w:val="00F92048"/>
    <w:rsid w:val="00FA0B1E"/>
    <w:rsid w:val="00FB0AF1"/>
    <w:rsid w:val="00FB1457"/>
    <w:rsid w:val="00FB33E2"/>
    <w:rsid w:val="00FB3CE1"/>
    <w:rsid w:val="00FB412C"/>
    <w:rsid w:val="00FC6530"/>
    <w:rsid w:val="00FF0272"/>
    <w:rsid w:val="01206AC2"/>
    <w:rsid w:val="01F0C202"/>
    <w:rsid w:val="025A8865"/>
    <w:rsid w:val="02A96B26"/>
    <w:rsid w:val="02BAFD1D"/>
    <w:rsid w:val="02CDF4C6"/>
    <w:rsid w:val="02E8C71A"/>
    <w:rsid w:val="02F55C5F"/>
    <w:rsid w:val="03A64E02"/>
    <w:rsid w:val="03E71DEF"/>
    <w:rsid w:val="046E0064"/>
    <w:rsid w:val="04FEF5E3"/>
    <w:rsid w:val="054D0720"/>
    <w:rsid w:val="0619BD81"/>
    <w:rsid w:val="067EB264"/>
    <w:rsid w:val="07AF878A"/>
    <w:rsid w:val="07DAE3AC"/>
    <w:rsid w:val="0884AD26"/>
    <w:rsid w:val="0A0A0D01"/>
    <w:rsid w:val="0B248BCE"/>
    <w:rsid w:val="0B9609BB"/>
    <w:rsid w:val="0BBD9EE3"/>
    <w:rsid w:val="0BE4F05E"/>
    <w:rsid w:val="0C61F999"/>
    <w:rsid w:val="0D4D3A59"/>
    <w:rsid w:val="0D56E588"/>
    <w:rsid w:val="0D665341"/>
    <w:rsid w:val="0E8821EB"/>
    <w:rsid w:val="0F3C6819"/>
    <w:rsid w:val="0FA5CD3F"/>
    <w:rsid w:val="0FC211FD"/>
    <w:rsid w:val="103337EE"/>
    <w:rsid w:val="10743081"/>
    <w:rsid w:val="10EC101B"/>
    <w:rsid w:val="113C93DD"/>
    <w:rsid w:val="116291FF"/>
    <w:rsid w:val="11AC14E9"/>
    <w:rsid w:val="11D9BDC2"/>
    <w:rsid w:val="121AC447"/>
    <w:rsid w:val="12956F0F"/>
    <w:rsid w:val="12D022B9"/>
    <w:rsid w:val="12D25031"/>
    <w:rsid w:val="137D72E1"/>
    <w:rsid w:val="13EBA531"/>
    <w:rsid w:val="14A3A04F"/>
    <w:rsid w:val="15729CC8"/>
    <w:rsid w:val="1579338D"/>
    <w:rsid w:val="15C4D46E"/>
    <w:rsid w:val="161F87A4"/>
    <w:rsid w:val="16432701"/>
    <w:rsid w:val="17827B49"/>
    <w:rsid w:val="179A0683"/>
    <w:rsid w:val="180E598F"/>
    <w:rsid w:val="18FBB460"/>
    <w:rsid w:val="1942BF63"/>
    <w:rsid w:val="194F36A3"/>
    <w:rsid w:val="19CCFA9F"/>
    <w:rsid w:val="19F07958"/>
    <w:rsid w:val="1A35CD7A"/>
    <w:rsid w:val="1A701BC4"/>
    <w:rsid w:val="1A93F9FA"/>
    <w:rsid w:val="1ABEF259"/>
    <w:rsid w:val="1AC1E687"/>
    <w:rsid w:val="1AC98BE6"/>
    <w:rsid w:val="1B96B4A1"/>
    <w:rsid w:val="1BB0F7D0"/>
    <w:rsid w:val="1C2ACF3F"/>
    <w:rsid w:val="1C3EFD22"/>
    <w:rsid w:val="1C693BD9"/>
    <w:rsid w:val="1CE065D4"/>
    <w:rsid w:val="1CEAC326"/>
    <w:rsid w:val="1D6426CF"/>
    <w:rsid w:val="1D80C1AF"/>
    <w:rsid w:val="1DDD846F"/>
    <w:rsid w:val="1EA7BD45"/>
    <w:rsid w:val="1EF8F7D5"/>
    <w:rsid w:val="1FDFCCB0"/>
    <w:rsid w:val="204E430F"/>
    <w:rsid w:val="208732DE"/>
    <w:rsid w:val="2151345B"/>
    <w:rsid w:val="2257B98D"/>
    <w:rsid w:val="22B0E497"/>
    <w:rsid w:val="22D7506F"/>
    <w:rsid w:val="230FC05C"/>
    <w:rsid w:val="232530DC"/>
    <w:rsid w:val="2337EDB5"/>
    <w:rsid w:val="234B3623"/>
    <w:rsid w:val="23744EE7"/>
    <w:rsid w:val="238D3490"/>
    <w:rsid w:val="23CD60FC"/>
    <w:rsid w:val="240050F9"/>
    <w:rsid w:val="24581EDB"/>
    <w:rsid w:val="257A754D"/>
    <w:rsid w:val="257FF7C8"/>
    <w:rsid w:val="277262C4"/>
    <w:rsid w:val="27DE4D39"/>
    <w:rsid w:val="28901A03"/>
    <w:rsid w:val="28B8C42E"/>
    <w:rsid w:val="29819BFA"/>
    <w:rsid w:val="29F61194"/>
    <w:rsid w:val="2A18C4D7"/>
    <w:rsid w:val="2A2FC801"/>
    <w:rsid w:val="2ADC08CD"/>
    <w:rsid w:val="2AEB1850"/>
    <w:rsid w:val="2B43C294"/>
    <w:rsid w:val="2C729ECB"/>
    <w:rsid w:val="2CD86E19"/>
    <w:rsid w:val="2D6AFF4E"/>
    <w:rsid w:val="2DA10A2D"/>
    <w:rsid w:val="2DA1B7D7"/>
    <w:rsid w:val="2DE2B6B0"/>
    <w:rsid w:val="2DF45A0B"/>
    <w:rsid w:val="2E987ADC"/>
    <w:rsid w:val="2EB95B30"/>
    <w:rsid w:val="2F12C87C"/>
    <w:rsid w:val="2F3B519C"/>
    <w:rsid w:val="2FC9A3C5"/>
    <w:rsid w:val="2FFCC78C"/>
    <w:rsid w:val="31659B8A"/>
    <w:rsid w:val="324E2A16"/>
    <w:rsid w:val="325DD561"/>
    <w:rsid w:val="32EC75E0"/>
    <w:rsid w:val="33257295"/>
    <w:rsid w:val="3342FC76"/>
    <w:rsid w:val="335C9A50"/>
    <w:rsid w:val="342D0954"/>
    <w:rsid w:val="343926C3"/>
    <w:rsid w:val="34417AE0"/>
    <w:rsid w:val="3447F93F"/>
    <w:rsid w:val="34EFF96D"/>
    <w:rsid w:val="35230594"/>
    <w:rsid w:val="353F2B1E"/>
    <w:rsid w:val="35B36848"/>
    <w:rsid w:val="35B643B0"/>
    <w:rsid w:val="360662AC"/>
    <w:rsid w:val="362BBE99"/>
    <w:rsid w:val="365EAEB7"/>
    <w:rsid w:val="380B8CC1"/>
    <w:rsid w:val="388DFC49"/>
    <w:rsid w:val="392A4449"/>
    <w:rsid w:val="39893164"/>
    <w:rsid w:val="399D98E3"/>
    <w:rsid w:val="39AB54B7"/>
    <w:rsid w:val="3ADD0400"/>
    <w:rsid w:val="3B896713"/>
    <w:rsid w:val="3BE9399E"/>
    <w:rsid w:val="3C766EFE"/>
    <w:rsid w:val="3CB9C453"/>
    <w:rsid w:val="3CF2BB0F"/>
    <w:rsid w:val="3D563C40"/>
    <w:rsid w:val="3D853499"/>
    <w:rsid w:val="3E0BDFBE"/>
    <w:rsid w:val="3EC1CAD1"/>
    <w:rsid w:val="3EF001F7"/>
    <w:rsid w:val="3FAC7B87"/>
    <w:rsid w:val="401E33CD"/>
    <w:rsid w:val="40D41484"/>
    <w:rsid w:val="41323F76"/>
    <w:rsid w:val="41E65E20"/>
    <w:rsid w:val="42481AAD"/>
    <w:rsid w:val="425B6191"/>
    <w:rsid w:val="428A68AD"/>
    <w:rsid w:val="42F019EF"/>
    <w:rsid w:val="436A0EEC"/>
    <w:rsid w:val="43A555B3"/>
    <w:rsid w:val="43C58FDF"/>
    <w:rsid w:val="443CF3D4"/>
    <w:rsid w:val="4441BD20"/>
    <w:rsid w:val="44583397"/>
    <w:rsid w:val="448128D4"/>
    <w:rsid w:val="44DB229D"/>
    <w:rsid w:val="456E06E4"/>
    <w:rsid w:val="45A72418"/>
    <w:rsid w:val="45DE1F88"/>
    <w:rsid w:val="4631B7C0"/>
    <w:rsid w:val="47884B62"/>
    <w:rsid w:val="47E81594"/>
    <w:rsid w:val="4862F0A5"/>
    <w:rsid w:val="48ED3A7F"/>
    <w:rsid w:val="499D7F50"/>
    <w:rsid w:val="4A233BDD"/>
    <w:rsid w:val="4AB47F88"/>
    <w:rsid w:val="4B491872"/>
    <w:rsid w:val="4B57BCDF"/>
    <w:rsid w:val="4B676E7F"/>
    <w:rsid w:val="4C3598C3"/>
    <w:rsid w:val="4CC62405"/>
    <w:rsid w:val="4D5FEFDD"/>
    <w:rsid w:val="4D9DA1B4"/>
    <w:rsid w:val="4DED7898"/>
    <w:rsid w:val="4DFB370A"/>
    <w:rsid w:val="4F6E692A"/>
    <w:rsid w:val="4F802C4F"/>
    <w:rsid w:val="4FBEB8C2"/>
    <w:rsid w:val="5042B694"/>
    <w:rsid w:val="50E7137D"/>
    <w:rsid w:val="5188117C"/>
    <w:rsid w:val="51FD5322"/>
    <w:rsid w:val="524EAAFF"/>
    <w:rsid w:val="5290F8B7"/>
    <w:rsid w:val="52AB4D55"/>
    <w:rsid w:val="52FCEA42"/>
    <w:rsid w:val="5301E406"/>
    <w:rsid w:val="531E2150"/>
    <w:rsid w:val="53962962"/>
    <w:rsid w:val="5532DB40"/>
    <w:rsid w:val="5532F44F"/>
    <w:rsid w:val="55641349"/>
    <w:rsid w:val="561E171F"/>
    <w:rsid w:val="564C5EB5"/>
    <w:rsid w:val="56CF2DD8"/>
    <w:rsid w:val="57D63E00"/>
    <w:rsid w:val="580F6E62"/>
    <w:rsid w:val="58518067"/>
    <w:rsid w:val="58576C91"/>
    <w:rsid w:val="58676C61"/>
    <w:rsid w:val="58F13DB5"/>
    <w:rsid w:val="59090D17"/>
    <w:rsid w:val="5967D9AB"/>
    <w:rsid w:val="59842A81"/>
    <w:rsid w:val="59EC1D8B"/>
    <w:rsid w:val="5A2AAE63"/>
    <w:rsid w:val="5A82869B"/>
    <w:rsid w:val="5AB38170"/>
    <w:rsid w:val="5AD72D05"/>
    <w:rsid w:val="5AF23FEA"/>
    <w:rsid w:val="5B236645"/>
    <w:rsid w:val="5B32F719"/>
    <w:rsid w:val="5B3F2A14"/>
    <w:rsid w:val="5B4EDB89"/>
    <w:rsid w:val="5B808CE6"/>
    <w:rsid w:val="5BB1C17D"/>
    <w:rsid w:val="5BFF2441"/>
    <w:rsid w:val="5C06E1FF"/>
    <w:rsid w:val="5CBF36A6"/>
    <w:rsid w:val="5D5BAE10"/>
    <w:rsid w:val="5E221D21"/>
    <w:rsid w:val="5E4A65D7"/>
    <w:rsid w:val="5E53F44B"/>
    <w:rsid w:val="5E64CEBB"/>
    <w:rsid w:val="5EFBB4D1"/>
    <w:rsid w:val="5F3D09D6"/>
    <w:rsid w:val="5F4F8F5F"/>
    <w:rsid w:val="5FCC884C"/>
    <w:rsid w:val="5FE93B20"/>
    <w:rsid w:val="603CCA76"/>
    <w:rsid w:val="608009F8"/>
    <w:rsid w:val="60D3F8DC"/>
    <w:rsid w:val="60EB64C8"/>
    <w:rsid w:val="611E38BE"/>
    <w:rsid w:val="61395125"/>
    <w:rsid w:val="6200E753"/>
    <w:rsid w:val="6204DB3A"/>
    <w:rsid w:val="626E3256"/>
    <w:rsid w:val="6271DE22"/>
    <w:rsid w:val="62F6D2AF"/>
    <w:rsid w:val="633FCCB5"/>
    <w:rsid w:val="63BC04CB"/>
    <w:rsid w:val="6424FFF1"/>
    <w:rsid w:val="644E2F04"/>
    <w:rsid w:val="64F49967"/>
    <w:rsid w:val="665262A4"/>
    <w:rsid w:val="66E02C33"/>
    <w:rsid w:val="67239A11"/>
    <w:rsid w:val="673D4B43"/>
    <w:rsid w:val="673E8004"/>
    <w:rsid w:val="676A7A54"/>
    <w:rsid w:val="68247189"/>
    <w:rsid w:val="68A241F4"/>
    <w:rsid w:val="68F48F4A"/>
    <w:rsid w:val="68F7D74F"/>
    <w:rsid w:val="6A29AD4C"/>
    <w:rsid w:val="6AB9387B"/>
    <w:rsid w:val="6B356D30"/>
    <w:rsid w:val="6BBEF7D2"/>
    <w:rsid w:val="6C076C0D"/>
    <w:rsid w:val="6C83CE28"/>
    <w:rsid w:val="6C90ACC0"/>
    <w:rsid w:val="6CCF6B5F"/>
    <w:rsid w:val="6CF793E7"/>
    <w:rsid w:val="6D694DE7"/>
    <w:rsid w:val="6DE304C7"/>
    <w:rsid w:val="6E2B4DC4"/>
    <w:rsid w:val="6E89F458"/>
    <w:rsid w:val="6EC36C15"/>
    <w:rsid w:val="6ED9DBB9"/>
    <w:rsid w:val="6EE19E9C"/>
    <w:rsid w:val="6EF5D40B"/>
    <w:rsid w:val="6F0C0297"/>
    <w:rsid w:val="6F0CB807"/>
    <w:rsid w:val="6F89D558"/>
    <w:rsid w:val="7033824D"/>
    <w:rsid w:val="70592F14"/>
    <w:rsid w:val="70CD13DC"/>
    <w:rsid w:val="7118A584"/>
    <w:rsid w:val="712E0475"/>
    <w:rsid w:val="71526B10"/>
    <w:rsid w:val="71B75B14"/>
    <w:rsid w:val="71EAFFFB"/>
    <w:rsid w:val="722FE126"/>
    <w:rsid w:val="73CB038D"/>
    <w:rsid w:val="73E74490"/>
    <w:rsid w:val="74BD79C9"/>
    <w:rsid w:val="74DF48E8"/>
    <w:rsid w:val="751DB54A"/>
    <w:rsid w:val="75BA0AC2"/>
    <w:rsid w:val="762EE8CC"/>
    <w:rsid w:val="762F54FB"/>
    <w:rsid w:val="763F2B84"/>
    <w:rsid w:val="77A31713"/>
    <w:rsid w:val="7896CDF1"/>
    <w:rsid w:val="7960B8BB"/>
    <w:rsid w:val="7B31BC0B"/>
    <w:rsid w:val="7C8FEF9F"/>
    <w:rsid w:val="7CB0E349"/>
    <w:rsid w:val="7D2636D8"/>
    <w:rsid w:val="7E5775F0"/>
    <w:rsid w:val="7F094F68"/>
    <w:rsid w:val="7F4B2518"/>
    <w:rsid w:val="7F64AEA2"/>
    <w:rsid w:val="7FA9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04EB"/>
  <w15:docId w15:val="{3146D381-0AD4-9E4E-97D7-B9AE54A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Stopka1">
    <w:name w:val="Stopka1"/>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B">
    <w:name w:val="Brak B"/>
    <w:rPr>
      <w:lang w:val="it-IT"/>
    </w:rPr>
  </w:style>
  <w:style w:type="paragraph" w:customStyle="1" w:styleId="Nagwek1">
    <w:name w:val="Nagłówek1"/>
    <w:pPr>
      <w:tabs>
        <w:tab w:val="center" w:pos="4536"/>
        <w:tab w:val="right" w:pos="9072"/>
      </w:tabs>
      <w:suppressAutoHyphen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rPr>
      <w:rFonts w:eastAsia="Times New Roman"/>
      <w:color w:val="000000"/>
      <w:sz w:val="24"/>
      <w:szCs w:val="24"/>
      <w:u w:color="000000"/>
      <w14:textOutline w14:w="0" w14:cap="flat" w14:cmpd="sng" w14:algn="ctr">
        <w14:noFill/>
        <w14:prstDash w14:val="solid"/>
        <w14:bevel/>
      </w14:textOutline>
    </w:rPr>
  </w:style>
  <w:style w:type="paragraph" w:customStyle="1" w:styleId="Nagwek21">
    <w:name w:val="Nagłówek 21"/>
    <w:next w:val="Normalny1"/>
    <w:pPr>
      <w:keepNext/>
      <w:tabs>
        <w:tab w:val="left" w:pos="576"/>
      </w:tabs>
      <w:suppressAutoHyphens/>
      <w:spacing w:line="240" w:lineRule="exact"/>
      <w:ind w:left="576" w:hanging="576"/>
      <w:outlineLvl w:val="0"/>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paragraph" w:customStyle="1" w:styleId="Normalny1">
    <w:name w:val="Normalny1"/>
    <w:pPr>
      <w:suppressAutoHyphens/>
      <w:spacing w:line="320" w:lineRule="atLeast"/>
    </w:pPr>
    <w:rPr>
      <w:rFonts w:ascii="Tahoma" w:eastAsia="Tahoma" w:hAnsi="Tahoma" w:cs="Tahoma"/>
      <w:color w:val="000000"/>
      <w:u w:color="000000"/>
    </w:rPr>
  </w:style>
  <w:style w:type="paragraph" w:customStyle="1" w:styleId="TreA">
    <w:name w:val="Treść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erAddress">
    <w:name w:val="HeaderAddress"/>
    <w:pPr>
      <w:suppressAutoHyphens/>
    </w:pPr>
    <w:rPr>
      <w:rFonts w:ascii="Tahoma" w:eastAsia="Tahoma" w:hAnsi="Tahoma" w:cs="Tahoma"/>
      <w:color w:val="000000"/>
      <w:sz w:val="16"/>
      <w:szCs w:val="16"/>
      <w:u w:color="000000"/>
    </w:rPr>
  </w:style>
  <w:style w:type="paragraph" w:styleId="Legenda">
    <w:name w:val="caption"/>
    <w:pPr>
      <w:suppressAutoHyphens/>
      <w:outlineLvl w:val="0"/>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character" w:customStyle="1" w:styleId="Brak">
    <w:name w:val="Brak"/>
    <w:uiPriority w:val="1"/>
  </w:style>
  <w:style w:type="character" w:customStyle="1" w:styleId="Hyperlink0">
    <w:name w:val="Hyperlink.0"/>
    <w:basedOn w:val="Brak"/>
    <w:rPr>
      <w:outline w:val="0"/>
      <w:color w:val="4F81BD"/>
      <w:sz w:val="18"/>
      <w:szCs w:val="18"/>
      <w:u w:val="single" w:color="4F81BD"/>
    </w:rPr>
  </w:style>
  <w:style w:type="character" w:customStyle="1" w:styleId="Hyperlink1">
    <w:name w:val="Hyperlink.1"/>
    <w:basedOn w:val="Brak"/>
    <w:rPr>
      <w:outline w:val="0"/>
      <w:color w:val="4F81BD"/>
      <w:kern w:val="16"/>
      <w:u w:val="single" w:color="4F81BD"/>
    </w:rPr>
  </w:style>
  <w:style w:type="table" w:styleId="Tabela-Siatka">
    <w:name w:val="Table Grid"/>
    <w:basedOn w:val="Standardowy"/>
    <w:uiPriority w:val="39"/>
    <w:rsid w:val="00CB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CB5C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542C0"/>
    <w:rPr>
      <w:sz w:val="18"/>
      <w:szCs w:val="18"/>
    </w:rPr>
  </w:style>
  <w:style w:type="character" w:customStyle="1" w:styleId="TekstdymkaZnak">
    <w:name w:val="Tekst dymka Znak"/>
    <w:basedOn w:val="Domylnaczcionkaakapitu"/>
    <w:link w:val="Tekstdymka"/>
    <w:uiPriority w:val="99"/>
    <w:semiHidden/>
    <w:rsid w:val="007542C0"/>
    <w:rPr>
      <w:sz w:val="18"/>
      <w:szCs w:val="18"/>
    </w:rPr>
  </w:style>
  <w:style w:type="paragraph" w:styleId="Nagwek">
    <w:name w:val="header"/>
    <w:basedOn w:val="Normalny"/>
    <w:link w:val="NagwekZnak"/>
    <w:uiPriority w:val="99"/>
    <w:unhideWhenUsed/>
    <w:rsid w:val="003840BF"/>
    <w:pPr>
      <w:tabs>
        <w:tab w:val="center" w:pos="4536"/>
        <w:tab w:val="right" w:pos="9072"/>
      </w:tabs>
    </w:pPr>
  </w:style>
  <w:style w:type="character" w:customStyle="1" w:styleId="NagwekZnak">
    <w:name w:val="Nagłówek Znak"/>
    <w:basedOn w:val="Domylnaczcionkaakapitu"/>
    <w:link w:val="Nagwek"/>
    <w:uiPriority w:val="99"/>
    <w:rsid w:val="003840BF"/>
    <w:rPr>
      <w:sz w:val="24"/>
      <w:szCs w:val="24"/>
    </w:rPr>
  </w:style>
  <w:style w:type="paragraph" w:styleId="Stopka">
    <w:name w:val="footer"/>
    <w:basedOn w:val="Normalny"/>
    <w:link w:val="StopkaZnak"/>
    <w:uiPriority w:val="99"/>
    <w:unhideWhenUsed/>
    <w:rsid w:val="003840BF"/>
    <w:pPr>
      <w:tabs>
        <w:tab w:val="center" w:pos="4536"/>
        <w:tab w:val="right" w:pos="9072"/>
      </w:tabs>
    </w:pPr>
  </w:style>
  <w:style w:type="character" w:customStyle="1" w:styleId="StopkaZnak">
    <w:name w:val="Stopka Znak"/>
    <w:basedOn w:val="Domylnaczcionkaakapitu"/>
    <w:link w:val="Stopka"/>
    <w:uiPriority w:val="99"/>
    <w:rsid w:val="003840BF"/>
    <w:rPr>
      <w:sz w:val="24"/>
      <w:szCs w:val="24"/>
    </w:rPr>
  </w:style>
  <w:style w:type="paragraph" w:styleId="Tematkomentarza">
    <w:name w:val="annotation subject"/>
    <w:basedOn w:val="Tekstkomentarza"/>
    <w:next w:val="Tekstkomentarza"/>
    <w:link w:val="TematkomentarzaZnak"/>
    <w:uiPriority w:val="99"/>
    <w:semiHidden/>
    <w:unhideWhenUsed/>
    <w:rsid w:val="009446B1"/>
    <w:rPr>
      <w:b/>
      <w:bCs/>
    </w:rPr>
  </w:style>
  <w:style w:type="character" w:customStyle="1" w:styleId="TematkomentarzaZnak">
    <w:name w:val="Temat komentarza Znak"/>
    <w:basedOn w:val="TekstkomentarzaZnak"/>
    <w:link w:val="Tematkomentarza"/>
    <w:uiPriority w:val="99"/>
    <w:semiHidden/>
    <w:rsid w:val="009446B1"/>
    <w:rPr>
      <w:b/>
      <w:bCs/>
    </w:rPr>
  </w:style>
  <w:style w:type="character" w:customStyle="1" w:styleId="BrakA">
    <w:name w:val="Brak A"/>
    <w:rsid w:val="00EC6114"/>
    <w:rPr>
      <w:lang w:val="it-IT"/>
    </w:rPr>
  </w:style>
  <w:style w:type="paragraph" w:styleId="Poprawka">
    <w:name w:val="Revision"/>
    <w:hidden/>
    <w:uiPriority w:val="99"/>
    <w:semiHidden/>
    <w:rsid w:val="008045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Tekstprzypisukocowego">
    <w:name w:val="endnote text"/>
    <w:basedOn w:val="Normalny"/>
    <w:link w:val="TekstprzypisukocowegoZnak"/>
    <w:uiPriority w:val="99"/>
    <w:semiHidden/>
    <w:unhideWhenUsed/>
    <w:rsid w:val="001E4F6E"/>
    <w:rPr>
      <w:sz w:val="20"/>
      <w:szCs w:val="20"/>
    </w:rPr>
  </w:style>
  <w:style w:type="character" w:customStyle="1" w:styleId="TekstprzypisukocowegoZnak">
    <w:name w:val="Tekst przypisu końcowego Znak"/>
    <w:basedOn w:val="Domylnaczcionkaakapitu"/>
    <w:link w:val="Tekstprzypisukocowego"/>
    <w:uiPriority w:val="99"/>
    <w:semiHidden/>
    <w:rsid w:val="001E4F6E"/>
  </w:style>
  <w:style w:type="character" w:styleId="Odwoanieprzypisukocowego">
    <w:name w:val="endnote reference"/>
    <w:basedOn w:val="Domylnaczcionkaakapitu"/>
    <w:uiPriority w:val="99"/>
    <w:semiHidden/>
    <w:unhideWhenUsed/>
    <w:rsid w:val="001E4F6E"/>
    <w:rPr>
      <w:vertAlign w:val="superscript"/>
    </w:rPr>
  </w:style>
  <w:style w:type="paragraph" w:styleId="Akapitzlist">
    <w:name w:val="List Paragraph"/>
    <w:basedOn w:val="Normalny"/>
    <w:uiPriority w:val="34"/>
    <w:qFormat/>
    <w:rsid w:val="003810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5642">
      <w:bodyDiv w:val="1"/>
      <w:marLeft w:val="0"/>
      <w:marRight w:val="0"/>
      <w:marTop w:val="0"/>
      <w:marBottom w:val="0"/>
      <w:divBdr>
        <w:top w:val="none" w:sz="0" w:space="0" w:color="auto"/>
        <w:left w:val="none" w:sz="0" w:space="0" w:color="auto"/>
        <w:bottom w:val="none" w:sz="0" w:space="0" w:color="auto"/>
        <w:right w:val="none" w:sz="0" w:space="0" w:color="auto"/>
      </w:divBdr>
      <w:divsChild>
        <w:div w:id="1693994990">
          <w:marLeft w:val="0"/>
          <w:marRight w:val="0"/>
          <w:marTop w:val="0"/>
          <w:marBottom w:val="0"/>
          <w:divBdr>
            <w:top w:val="none" w:sz="0" w:space="0" w:color="auto"/>
            <w:left w:val="none" w:sz="0" w:space="0" w:color="auto"/>
            <w:bottom w:val="none" w:sz="0" w:space="0" w:color="auto"/>
            <w:right w:val="none" w:sz="0" w:space="0" w:color="auto"/>
          </w:divBdr>
        </w:div>
      </w:divsChild>
    </w:div>
    <w:div w:id="192308125">
      <w:bodyDiv w:val="1"/>
      <w:marLeft w:val="0"/>
      <w:marRight w:val="0"/>
      <w:marTop w:val="0"/>
      <w:marBottom w:val="0"/>
      <w:divBdr>
        <w:top w:val="none" w:sz="0" w:space="0" w:color="auto"/>
        <w:left w:val="none" w:sz="0" w:space="0" w:color="auto"/>
        <w:bottom w:val="none" w:sz="0" w:space="0" w:color="auto"/>
        <w:right w:val="none" w:sz="0" w:space="0" w:color="auto"/>
      </w:divBdr>
    </w:div>
    <w:div w:id="238944624">
      <w:bodyDiv w:val="1"/>
      <w:marLeft w:val="0"/>
      <w:marRight w:val="0"/>
      <w:marTop w:val="0"/>
      <w:marBottom w:val="0"/>
      <w:divBdr>
        <w:top w:val="none" w:sz="0" w:space="0" w:color="auto"/>
        <w:left w:val="none" w:sz="0" w:space="0" w:color="auto"/>
        <w:bottom w:val="none" w:sz="0" w:space="0" w:color="auto"/>
        <w:right w:val="none" w:sz="0" w:space="0" w:color="auto"/>
      </w:divBdr>
      <w:divsChild>
        <w:div w:id="1971400938">
          <w:marLeft w:val="0"/>
          <w:marRight w:val="0"/>
          <w:marTop w:val="0"/>
          <w:marBottom w:val="0"/>
          <w:divBdr>
            <w:top w:val="none" w:sz="0" w:space="0" w:color="auto"/>
            <w:left w:val="none" w:sz="0" w:space="0" w:color="auto"/>
            <w:bottom w:val="none" w:sz="0" w:space="0" w:color="auto"/>
            <w:right w:val="none" w:sz="0" w:space="0" w:color="auto"/>
          </w:divBdr>
          <w:divsChild>
            <w:div w:id="1846241163">
              <w:marLeft w:val="0"/>
              <w:marRight w:val="0"/>
              <w:marTop w:val="0"/>
              <w:marBottom w:val="0"/>
              <w:divBdr>
                <w:top w:val="none" w:sz="0" w:space="0" w:color="auto"/>
                <w:left w:val="none" w:sz="0" w:space="0" w:color="auto"/>
                <w:bottom w:val="none" w:sz="0" w:space="0" w:color="auto"/>
                <w:right w:val="none" w:sz="0" w:space="0" w:color="auto"/>
              </w:divBdr>
              <w:divsChild>
                <w:div w:id="158540228">
                  <w:marLeft w:val="0"/>
                  <w:marRight w:val="0"/>
                  <w:marTop w:val="0"/>
                  <w:marBottom w:val="0"/>
                  <w:divBdr>
                    <w:top w:val="none" w:sz="0" w:space="0" w:color="auto"/>
                    <w:left w:val="none" w:sz="0" w:space="0" w:color="auto"/>
                    <w:bottom w:val="none" w:sz="0" w:space="0" w:color="auto"/>
                    <w:right w:val="none" w:sz="0" w:space="0" w:color="auto"/>
                  </w:divBdr>
                  <w:divsChild>
                    <w:div w:id="2510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7011">
      <w:bodyDiv w:val="1"/>
      <w:marLeft w:val="0"/>
      <w:marRight w:val="0"/>
      <w:marTop w:val="0"/>
      <w:marBottom w:val="0"/>
      <w:divBdr>
        <w:top w:val="none" w:sz="0" w:space="0" w:color="auto"/>
        <w:left w:val="none" w:sz="0" w:space="0" w:color="auto"/>
        <w:bottom w:val="none" w:sz="0" w:space="0" w:color="auto"/>
        <w:right w:val="none" w:sz="0" w:space="0" w:color="auto"/>
      </w:divBdr>
      <w:divsChild>
        <w:div w:id="715085938">
          <w:marLeft w:val="0"/>
          <w:marRight w:val="0"/>
          <w:marTop w:val="0"/>
          <w:marBottom w:val="0"/>
          <w:divBdr>
            <w:top w:val="none" w:sz="0" w:space="0" w:color="auto"/>
            <w:left w:val="none" w:sz="0" w:space="0" w:color="auto"/>
            <w:bottom w:val="none" w:sz="0" w:space="0" w:color="auto"/>
            <w:right w:val="none" w:sz="0" w:space="0" w:color="auto"/>
          </w:divBdr>
          <w:divsChild>
            <w:div w:id="2030788609">
              <w:marLeft w:val="0"/>
              <w:marRight w:val="0"/>
              <w:marTop w:val="0"/>
              <w:marBottom w:val="0"/>
              <w:divBdr>
                <w:top w:val="none" w:sz="0" w:space="0" w:color="auto"/>
                <w:left w:val="none" w:sz="0" w:space="0" w:color="auto"/>
                <w:bottom w:val="none" w:sz="0" w:space="0" w:color="auto"/>
                <w:right w:val="none" w:sz="0" w:space="0" w:color="auto"/>
              </w:divBdr>
              <w:divsChild>
                <w:div w:id="1495796059">
                  <w:marLeft w:val="0"/>
                  <w:marRight w:val="0"/>
                  <w:marTop w:val="0"/>
                  <w:marBottom w:val="0"/>
                  <w:divBdr>
                    <w:top w:val="none" w:sz="0" w:space="0" w:color="auto"/>
                    <w:left w:val="none" w:sz="0" w:space="0" w:color="auto"/>
                    <w:bottom w:val="none" w:sz="0" w:space="0" w:color="auto"/>
                    <w:right w:val="none" w:sz="0" w:space="0" w:color="auto"/>
                  </w:divBdr>
                  <w:divsChild>
                    <w:div w:id="1168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6109">
      <w:bodyDiv w:val="1"/>
      <w:marLeft w:val="0"/>
      <w:marRight w:val="0"/>
      <w:marTop w:val="0"/>
      <w:marBottom w:val="0"/>
      <w:divBdr>
        <w:top w:val="none" w:sz="0" w:space="0" w:color="auto"/>
        <w:left w:val="none" w:sz="0" w:space="0" w:color="auto"/>
        <w:bottom w:val="none" w:sz="0" w:space="0" w:color="auto"/>
        <w:right w:val="none" w:sz="0" w:space="0" w:color="auto"/>
      </w:divBdr>
      <w:divsChild>
        <w:div w:id="1079058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ndstad.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teusz.zydek@randstad.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806001-f250-4bc2-a379-ef9f7ab61598">
      <UserInfo>
        <DisplayName>Joanna  Lewandowska</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431C5474A6E042BB3EF77AA281A3CD" ma:contentTypeVersion="8" ma:contentTypeDescription="Utwórz nowy dokument." ma:contentTypeScope="" ma:versionID="6c5c96df63c5e7c3ad089b031480230b">
  <xsd:schema xmlns:xsd="http://www.w3.org/2001/XMLSchema" xmlns:xs="http://www.w3.org/2001/XMLSchema" xmlns:p="http://schemas.microsoft.com/office/2006/metadata/properties" xmlns:ns2="e96b853f-ce18-4c85-b253-3397f9074f2a" xmlns:ns3="7b806001-f250-4bc2-a379-ef9f7ab61598" targetNamespace="http://schemas.microsoft.com/office/2006/metadata/properties" ma:root="true" ma:fieldsID="9c9f00dbc758703fc413bd2ef9eb8af6" ns2:_="" ns3:_="">
    <xsd:import namespace="e96b853f-ce18-4c85-b253-3397f9074f2a"/>
    <xsd:import namespace="7b806001-f250-4bc2-a379-ef9f7ab615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53f-ce18-4c85-b253-3397f907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06001-f250-4bc2-a379-ef9f7ab6159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5A03E-E44E-44BA-B463-1C17D51167B3}">
  <ds:schemaRefs>
    <ds:schemaRef ds:uri="http://schemas.microsoft.com/sharepoint/v3/contenttype/forms"/>
  </ds:schemaRefs>
</ds:datastoreItem>
</file>

<file path=customXml/itemProps2.xml><?xml version="1.0" encoding="utf-8"?>
<ds:datastoreItem xmlns:ds="http://schemas.openxmlformats.org/officeDocument/2006/customXml" ds:itemID="{05E5BE88-6996-4C53-8013-5F542C5C516B}">
  <ds:schemaRefs>
    <ds:schemaRef ds:uri="http://schemas.microsoft.com/office/2006/metadata/properties"/>
    <ds:schemaRef ds:uri="http://schemas.microsoft.com/office/infopath/2007/PartnerControls"/>
    <ds:schemaRef ds:uri="7b806001-f250-4bc2-a379-ef9f7ab61598"/>
  </ds:schemaRefs>
</ds:datastoreItem>
</file>

<file path=customXml/itemProps3.xml><?xml version="1.0" encoding="utf-8"?>
<ds:datastoreItem xmlns:ds="http://schemas.openxmlformats.org/officeDocument/2006/customXml" ds:itemID="{2F06E553-1144-4DC9-B0D9-519DD827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53f-ce18-4c85-b253-3397f9074f2a"/>
    <ds:schemaRef ds:uri="7b806001-f250-4bc2-a379-ef9f7ab6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750FB-A10A-418C-A72D-B3F508BE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1200</Words>
  <Characters>7202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 Żydek</dc:creator>
  <cp:lastModifiedBy>Mateusz Żydek</cp:lastModifiedBy>
  <cp:revision>7</cp:revision>
  <cp:lastPrinted>2022-10-03T08:58:00Z</cp:lastPrinted>
  <dcterms:created xsi:type="dcterms:W3CDTF">2025-04-17T13:18:00Z</dcterms:created>
  <dcterms:modified xsi:type="dcterms:W3CDTF">2025-04-17T14:37:00Z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0x0101006E431C5474A6E042BB3EF77AA281A3CD</vt:lpwstr>
  </property>
</Properties>
</file>