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3285A1" w14:textId="77777777" w:rsidR="00D72017" w:rsidRDefault="00D72017"/>
    <w:tbl>
      <w:tblPr>
        <w:tblpPr w:leftFromText="141" w:rightFromText="141" w:vertAnchor="text" w:horzAnchor="page" w:tblpX="391" w:tblpY="766"/>
        <w:tblOverlap w:val="never"/>
        <w:tblW w:w="184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tblGrid>
      <w:tr w:rsidR="005F07BC" w:rsidRPr="00EC6A2F" w14:paraId="395A0E5B" w14:textId="77777777" w:rsidTr="02F55C5F">
        <w:trPr>
          <w:trHeight w:val="207"/>
        </w:trPr>
        <w:tc>
          <w:tcPr>
            <w:tcW w:w="1843" w:type="dxa"/>
            <w:tcBorders>
              <w:top w:val="nil"/>
              <w:left w:val="nil"/>
              <w:bottom w:val="nil"/>
              <w:right w:val="nil"/>
            </w:tcBorders>
            <w:shd w:val="clear" w:color="auto" w:fill="auto"/>
            <w:tcMar>
              <w:top w:w="80" w:type="dxa"/>
              <w:left w:w="80" w:type="dxa"/>
              <w:bottom w:w="80" w:type="dxa"/>
              <w:right w:w="80" w:type="dxa"/>
            </w:tcMar>
            <w:vAlign w:val="bottom"/>
          </w:tcPr>
          <w:p w14:paraId="6A3CCB8F" w14:textId="3BEB7F8C" w:rsidR="005F07BC" w:rsidRPr="00010C3C" w:rsidRDefault="001A7186" w:rsidP="00C71F40">
            <w:pPr>
              <w:pStyle w:val="Nagwek21"/>
              <w:tabs>
                <w:tab w:val="clear" w:pos="576"/>
              </w:tabs>
              <w:spacing w:line="276" w:lineRule="auto"/>
              <w:ind w:left="62" w:firstLine="0"/>
              <w:rPr>
                <w:rFonts w:ascii="Tahoma" w:hAnsi="Tahoma" w:cs="Tahoma"/>
                <w:lang w:val="pl-PL"/>
              </w:rPr>
            </w:pPr>
            <w:r w:rsidRPr="59EC1D8B">
              <w:rPr>
                <w:rFonts w:ascii="Tahoma" w:hAnsi="Tahoma" w:cs="Tahoma"/>
                <w:lang w:val="pl-PL"/>
              </w:rPr>
              <w:t>data:</w:t>
            </w:r>
            <w:r>
              <w:br/>
            </w:r>
            <w:r w:rsidR="00C71F40">
              <w:rPr>
                <w:sz w:val="16"/>
                <w:szCs w:val="16"/>
              </w:rPr>
              <w:t>8</w:t>
            </w:r>
            <w:r w:rsidR="008D17D2" w:rsidRPr="008D17D2">
              <w:rPr>
                <w:sz w:val="16"/>
                <w:szCs w:val="16"/>
              </w:rPr>
              <w:t xml:space="preserve"> grudnia 2025 r.</w:t>
            </w:r>
          </w:p>
        </w:tc>
      </w:tr>
      <w:tr w:rsidR="005F07BC" w:rsidRPr="00EC6A2F" w14:paraId="774417E1" w14:textId="77777777" w:rsidTr="02F55C5F">
        <w:trPr>
          <w:trHeight w:val="237"/>
        </w:trPr>
        <w:tc>
          <w:tcPr>
            <w:tcW w:w="1843" w:type="dxa"/>
            <w:tcBorders>
              <w:top w:val="nil"/>
              <w:left w:val="nil"/>
              <w:bottom w:val="nil"/>
              <w:right w:val="nil"/>
            </w:tcBorders>
            <w:shd w:val="clear" w:color="auto" w:fill="auto"/>
            <w:tcMar>
              <w:top w:w="80" w:type="dxa"/>
              <w:left w:w="656" w:type="dxa"/>
              <w:bottom w:w="80" w:type="dxa"/>
              <w:right w:w="80" w:type="dxa"/>
            </w:tcMar>
            <w:vAlign w:val="bottom"/>
          </w:tcPr>
          <w:p w14:paraId="27D6D207" w14:textId="7A6DB566" w:rsidR="005F07BC" w:rsidRPr="00010C3C" w:rsidRDefault="008F46B0" w:rsidP="00D72017">
            <w:pPr>
              <w:pStyle w:val="Nagwek21"/>
              <w:tabs>
                <w:tab w:val="clear" w:pos="576"/>
              </w:tabs>
              <w:spacing w:line="276" w:lineRule="auto"/>
              <w:ind w:left="-514" w:firstLine="0"/>
              <w:rPr>
                <w:rFonts w:ascii="Tahoma" w:hAnsi="Tahoma" w:cs="Tahoma"/>
                <w:lang w:val="pl-PL"/>
              </w:rPr>
            </w:pPr>
            <w:r w:rsidRPr="00010C3C">
              <w:rPr>
                <w:rFonts w:ascii="Tahoma" w:hAnsi="Tahoma" w:cs="Tahoma"/>
                <w:lang w:val="pl-PL"/>
              </w:rPr>
              <w:t>informacje</w:t>
            </w:r>
            <w:r w:rsidR="001A7186" w:rsidRPr="00010C3C">
              <w:rPr>
                <w:rFonts w:ascii="Tahoma" w:hAnsi="Tahoma" w:cs="Tahoma"/>
                <w:lang w:val="pl-PL"/>
              </w:rPr>
              <w:t xml:space="preserve"> dodatkowe:</w:t>
            </w:r>
            <w:r w:rsidR="00D72017">
              <w:rPr>
                <w:rFonts w:ascii="Tahoma" w:hAnsi="Tahoma" w:cs="Tahoma"/>
                <w:lang w:val="pl-PL"/>
              </w:rPr>
              <w:br/>
            </w:r>
            <w:r w:rsidR="00D72017" w:rsidRPr="00010C3C">
              <w:rPr>
                <w:sz w:val="16"/>
                <w:szCs w:val="16"/>
                <w:lang w:val="pl-PL"/>
              </w:rPr>
              <w:t>Mateusz Żydek</w:t>
            </w:r>
          </w:p>
        </w:tc>
      </w:tr>
      <w:tr w:rsidR="005F07BC" w:rsidRPr="00EC6A2F" w14:paraId="528A8D15" w14:textId="77777777" w:rsidTr="02F55C5F">
        <w:trPr>
          <w:trHeight w:val="15"/>
        </w:trPr>
        <w:tc>
          <w:tcPr>
            <w:tcW w:w="1843" w:type="dxa"/>
            <w:tcBorders>
              <w:top w:val="nil"/>
              <w:left w:val="nil"/>
              <w:bottom w:val="nil"/>
              <w:right w:val="nil"/>
            </w:tcBorders>
            <w:shd w:val="clear" w:color="auto" w:fill="auto"/>
            <w:tcMar>
              <w:top w:w="80" w:type="dxa"/>
              <w:left w:w="656" w:type="dxa"/>
              <w:bottom w:w="80" w:type="dxa"/>
              <w:right w:w="80" w:type="dxa"/>
            </w:tcMar>
          </w:tcPr>
          <w:p w14:paraId="6D4BBF7B" w14:textId="77777777" w:rsidR="005F07BC" w:rsidRDefault="001A7186" w:rsidP="00D72017">
            <w:pPr>
              <w:pStyle w:val="Nagwek21"/>
              <w:spacing w:line="276" w:lineRule="auto"/>
              <w:ind w:left="-514" w:firstLine="0"/>
              <w:rPr>
                <w:rFonts w:ascii="Tahoma" w:hAnsi="Tahoma" w:cs="Tahoma"/>
                <w:lang w:val="pl-PL"/>
              </w:rPr>
            </w:pPr>
            <w:r w:rsidRPr="00010C3C">
              <w:rPr>
                <w:rFonts w:ascii="Tahoma" w:hAnsi="Tahoma" w:cs="Tahoma"/>
                <w:lang w:val="pl-PL"/>
              </w:rPr>
              <w:t>telefon:</w:t>
            </w:r>
          </w:p>
          <w:p w14:paraId="329D2B15" w14:textId="31E12507" w:rsidR="00D72017" w:rsidRPr="00D72017" w:rsidRDefault="2A2FC801" w:rsidP="00D72017">
            <w:pPr>
              <w:pStyle w:val="Normalny1"/>
              <w:spacing w:line="240" w:lineRule="auto"/>
              <w:ind w:left="-514"/>
              <w:rPr>
                <w:lang w:val="pl-PL"/>
              </w:rPr>
            </w:pPr>
            <w:r w:rsidRPr="02F55C5F">
              <w:rPr>
                <w:sz w:val="16"/>
                <w:szCs w:val="16"/>
                <w:lang w:val="pl-PL"/>
              </w:rPr>
              <w:t>+ 48 665 305 902</w:t>
            </w:r>
          </w:p>
        </w:tc>
      </w:tr>
      <w:tr w:rsidR="00D72017" w:rsidRPr="00EC6A2F" w14:paraId="02F43293" w14:textId="77777777" w:rsidTr="02F55C5F">
        <w:trPr>
          <w:trHeight w:val="15"/>
        </w:trPr>
        <w:tc>
          <w:tcPr>
            <w:tcW w:w="1843" w:type="dxa"/>
            <w:tcBorders>
              <w:top w:val="nil"/>
              <w:left w:val="nil"/>
              <w:bottom w:val="nil"/>
              <w:right w:val="nil"/>
            </w:tcBorders>
            <w:shd w:val="clear" w:color="auto" w:fill="auto"/>
            <w:tcMar>
              <w:top w:w="80" w:type="dxa"/>
              <w:left w:w="656" w:type="dxa"/>
              <w:bottom w:w="80" w:type="dxa"/>
              <w:right w:w="80" w:type="dxa"/>
            </w:tcMar>
          </w:tcPr>
          <w:p w14:paraId="0832903A" w14:textId="77777777" w:rsidR="00D72017" w:rsidRPr="002C6514" w:rsidRDefault="00D72017" w:rsidP="00D72017">
            <w:pPr>
              <w:pStyle w:val="Normalny1"/>
              <w:spacing w:line="240" w:lineRule="auto"/>
              <w:ind w:left="-514"/>
              <w:rPr>
                <w:sz w:val="12"/>
                <w:szCs w:val="16"/>
              </w:rPr>
            </w:pPr>
            <w:r w:rsidRPr="002C6514">
              <w:rPr>
                <w:sz w:val="12"/>
                <w:szCs w:val="16"/>
              </w:rPr>
              <w:t>e-mail:</w:t>
            </w:r>
          </w:p>
          <w:p w14:paraId="40EDEEF0" w14:textId="73B6C15D" w:rsidR="00D72017" w:rsidRPr="002C6514" w:rsidRDefault="00D72017" w:rsidP="00D72017">
            <w:pPr>
              <w:pStyle w:val="Normalny1"/>
              <w:spacing w:line="240" w:lineRule="auto"/>
              <w:ind w:left="-514"/>
            </w:pPr>
            <w:proofErr w:type="spellStart"/>
            <w:r w:rsidRPr="002C6514">
              <w:rPr>
                <w:sz w:val="16"/>
                <w:szCs w:val="16"/>
              </w:rPr>
              <w:t>mateusz.zydek</w:t>
            </w:r>
            <w:proofErr w:type="spellEnd"/>
            <w:r w:rsidRPr="002C6514">
              <w:rPr>
                <w:sz w:val="16"/>
                <w:szCs w:val="16"/>
              </w:rPr>
              <w:t>@</w:t>
            </w:r>
            <w:r w:rsidRPr="002C6514">
              <w:rPr>
                <w:sz w:val="16"/>
                <w:szCs w:val="16"/>
              </w:rPr>
              <w:br/>
              <w:t>randstad.pl</w:t>
            </w:r>
          </w:p>
        </w:tc>
      </w:tr>
    </w:tbl>
    <w:p w14:paraId="24F427E2" w14:textId="77777777" w:rsidR="005F07BC" w:rsidRPr="002C6514" w:rsidRDefault="005F07BC" w:rsidP="00C73E88">
      <w:pPr>
        <w:pStyle w:val="Tre"/>
        <w:widowControl w:val="0"/>
        <w:spacing w:line="276" w:lineRule="auto"/>
        <w:ind w:left="216" w:hanging="216"/>
        <w:rPr>
          <w:rFonts w:ascii="Tahoma" w:hAnsi="Tahoma" w:cs="Tahoma"/>
        </w:rPr>
      </w:pPr>
    </w:p>
    <w:p w14:paraId="45AABE00" w14:textId="77777777" w:rsidR="005F07BC" w:rsidRPr="002C6514" w:rsidRDefault="005F07BC" w:rsidP="00C73E88">
      <w:pPr>
        <w:pStyle w:val="TreA"/>
        <w:widowControl w:val="0"/>
        <w:spacing w:line="276" w:lineRule="auto"/>
        <w:ind w:left="108" w:hanging="108"/>
        <w:rPr>
          <w:rFonts w:ascii="Tahoma" w:hAnsi="Tahoma" w:cs="Tahoma"/>
        </w:rPr>
      </w:pPr>
    </w:p>
    <w:p w14:paraId="40BD4108" w14:textId="0E791A67" w:rsidR="00C71F40" w:rsidRDefault="00C71F40" w:rsidP="007C6562">
      <w:pPr>
        <w:spacing w:beforeAutospacing="1" w:afterAutospacing="1"/>
        <w:rPr>
          <w:rFonts w:ascii="Tahoma" w:eastAsia="Tahoma" w:hAnsi="Tahoma" w:cs="Tahoma"/>
          <w:color w:val="0070C0"/>
          <w:sz w:val="32"/>
          <w:szCs w:val="32"/>
          <w:u w:color="000000"/>
          <w:lang w:val="pl-PL"/>
        </w:rPr>
      </w:pPr>
      <w:r w:rsidRPr="00C71F40">
        <w:rPr>
          <w:rFonts w:ascii="Tahoma" w:eastAsia="Tahoma" w:hAnsi="Tahoma" w:cs="Tahoma"/>
          <w:color w:val="0070C0"/>
          <w:sz w:val="32"/>
          <w:szCs w:val="32"/>
          <w:u w:color="000000"/>
          <w:lang w:val="pl-PL"/>
        </w:rPr>
        <w:t>Jedynie 39 proc. firm planuje podwyżki po Nowym Roku, a co piąty pracodawca deklaruje premie na Boże Narodzenie</w:t>
      </w:r>
      <w:r>
        <w:rPr>
          <w:rFonts w:ascii="Tahoma" w:eastAsia="Tahoma" w:hAnsi="Tahoma" w:cs="Tahoma"/>
          <w:color w:val="0070C0"/>
          <w:sz w:val="32"/>
          <w:szCs w:val="32"/>
          <w:u w:color="000000"/>
          <w:lang w:val="pl-PL"/>
        </w:rPr>
        <w:t>.</w:t>
      </w:r>
    </w:p>
    <w:p w14:paraId="22F63F75" w14:textId="7B59645A" w:rsidR="00C71F40" w:rsidRDefault="00C71F40" w:rsidP="00B43495">
      <w:pPr>
        <w:spacing w:before="100" w:beforeAutospacing="1" w:after="100" w:afterAutospacing="1"/>
        <w:rPr>
          <w:rFonts w:ascii="Tahoma" w:hAnsi="Tahoma" w:cs="Tahoma"/>
          <w:b/>
          <w:bCs/>
          <w:sz w:val="20"/>
          <w:szCs w:val="20"/>
          <w:lang w:val="pl-PL"/>
        </w:rPr>
      </w:pPr>
      <w:r w:rsidRPr="00C71F40">
        <w:rPr>
          <w:rFonts w:ascii="Tahoma" w:hAnsi="Tahoma" w:cs="Tahoma"/>
          <w:b/>
          <w:bCs/>
          <w:sz w:val="20"/>
          <w:szCs w:val="20"/>
          <w:lang w:val="pl-PL"/>
        </w:rPr>
        <w:t xml:space="preserve">Noworoczne prognozy wskazują, że firmy ostrożniej planują budżety na kolejnych 12 miesięcy — podwyżki wynagrodzeń w 2026 roku deklaruje tylko 39 proc. pracodawców, co stanowi spadek o 8 </w:t>
      </w:r>
      <w:proofErr w:type="spellStart"/>
      <w:r w:rsidRPr="00C71F40">
        <w:rPr>
          <w:rFonts w:ascii="Tahoma" w:hAnsi="Tahoma" w:cs="Tahoma"/>
          <w:b/>
          <w:bCs/>
          <w:sz w:val="20"/>
          <w:szCs w:val="20"/>
          <w:lang w:val="pl-PL"/>
        </w:rPr>
        <w:t>p.p</w:t>
      </w:r>
      <w:proofErr w:type="spellEnd"/>
      <w:r w:rsidRPr="00C71F40">
        <w:rPr>
          <w:rFonts w:ascii="Tahoma" w:hAnsi="Tahoma" w:cs="Tahoma"/>
          <w:b/>
          <w:bCs/>
          <w:sz w:val="20"/>
          <w:szCs w:val="20"/>
          <w:lang w:val="pl-PL"/>
        </w:rPr>
        <w:t xml:space="preserve">. względem 2025 roku. Ostrożność widać też w premiach świątecznych: przewiduje je 20 proc. firm. Może to być sygnałem, że organizacje nie chcą tworzyć presji na rozbudowę benefitów w kolejnych latach. </w:t>
      </w:r>
      <w:r>
        <w:rPr>
          <w:rFonts w:ascii="Tahoma" w:hAnsi="Tahoma" w:cs="Tahoma"/>
          <w:b/>
          <w:bCs/>
          <w:sz w:val="20"/>
          <w:szCs w:val="20"/>
          <w:lang w:val="pl-PL"/>
        </w:rPr>
        <w:t>Takie</w:t>
      </w:r>
      <w:r w:rsidRPr="00C71F40">
        <w:rPr>
          <w:rFonts w:ascii="Tahoma" w:hAnsi="Tahoma" w:cs="Tahoma"/>
          <w:b/>
          <w:bCs/>
          <w:sz w:val="20"/>
          <w:szCs w:val="20"/>
          <w:lang w:val="pl-PL"/>
        </w:rPr>
        <w:t xml:space="preserve"> wnioski płyną z badania Instytutu Badawczego </w:t>
      </w:r>
      <w:proofErr w:type="spellStart"/>
      <w:r w:rsidRPr="00C71F40">
        <w:rPr>
          <w:rFonts w:ascii="Tahoma" w:hAnsi="Tahoma" w:cs="Tahoma"/>
          <w:b/>
          <w:bCs/>
          <w:sz w:val="20"/>
          <w:szCs w:val="20"/>
          <w:lang w:val="pl-PL"/>
        </w:rPr>
        <w:t>Randstad</w:t>
      </w:r>
      <w:proofErr w:type="spellEnd"/>
      <w:r w:rsidRPr="00C71F40">
        <w:rPr>
          <w:rFonts w:ascii="Tahoma" w:hAnsi="Tahoma" w:cs="Tahoma"/>
          <w:b/>
          <w:bCs/>
          <w:sz w:val="20"/>
          <w:szCs w:val="20"/>
          <w:lang w:val="pl-PL"/>
        </w:rPr>
        <w:t xml:space="preserve"> i Instytutu Badań </w:t>
      </w:r>
      <w:proofErr w:type="spellStart"/>
      <w:r w:rsidRPr="00C71F40">
        <w:rPr>
          <w:rFonts w:ascii="Tahoma" w:hAnsi="Tahoma" w:cs="Tahoma"/>
          <w:b/>
          <w:bCs/>
          <w:sz w:val="20"/>
          <w:szCs w:val="20"/>
          <w:lang w:val="pl-PL"/>
        </w:rPr>
        <w:t>Pollster</w:t>
      </w:r>
      <w:proofErr w:type="spellEnd"/>
      <w:r w:rsidRPr="00C71F40">
        <w:rPr>
          <w:rFonts w:ascii="Tahoma" w:hAnsi="Tahoma" w:cs="Tahoma"/>
          <w:b/>
          <w:bCs/>
          <w:sz w:val="20"/>
          <w:szCs w:val="20"/>
          <w:lang w:val="pl-PL"/>
        </w:rPr>
        <w:t>.</w:t>
      </w:r>
    </w:p>
    <w:p w14:paraId="6E87A914" w14:textId="1558B431" w:rsidR="00EC6A2F" w:rsidRPr="00C71F40" w:rsidRDefault="00C71F40" w:rsidP="007C6562">
      <w:pPr>
        <w:spacing w:beforeAutospacing="1" w:afterAutospacing="1"/>
        <w:rPr>
          <w:rFonts w:ascii="Tahoma" w:hAnsi="Tahoma" w:cs="Tahoma"/>
          <w:b/>
          <w:bCs/>
          <w:sz w:val="20"/>
          <w:szCs w:val="20"/>
          <w:lang w:val="pl-PL"/>
        </w:rPr>
      </w:pPr>
      <w:r w:rsidRPr="00C71F40">
        <w:rPr>
          <w:rFonts w:ascii="Tahoma" w:eastAsia="Tahoma" w:hAnsi="Tahoma" w:cs="Tahoma"/>
          <w:b/>
          <w:bCs/>
          <w:color w:val="0070C0"/>
          <w:sz w:val="20"/>
          <w:szCs w:val="20"/>
          <w:lang w:val="pl-PL"/>
        </w:rPr>
        <w:t>Firmy kontrolują koszty: podwyżki skromniejsze niż przed rokiem</w:t>
      </w:r>
    </w:p>
    <w:p w14:paraId="1F762912" w14:textId="77777777" w:rsidR="00C71F40" w:rsidRPr="00C71F40" w:rsidRDefault="00C71F40" w:rsidP="00C71F40">
      <w:pPr>
        <w:spacing w:before="240" w:line="276" w:lineRule="auto"/>
        <w:rPr>
          <w:rFonts w:ascii="Tahoma" w:eastAsia="Tahoma" w:hAnsi="Tahoma" w:cs="Tahoma"/>
          <w:color w:val="000000" w:themeColor="text1"/>
          <w:sz w:val="20"/>
          <w:szCs w:val="20"/>
          <w:lang w:val="pl-PL"/>
        </w:rPr>
      </w:pPr>
      <w:r w:rsidRPr="00C71F40">
        <w:rPr>
          <w:rFonts w:ascii="Tahoma" w:eastAsia="Tahoma" w:hAnsi="Tahoma" w:cs="Tahoma"/>
          <w:color w:val="000000" w:themeColor="text1"/>
          <w:sz w:val="20"/>
          <w:szCs w:val="20"/>
          <w:lang w:val="pl-PL"/>
        </w:rPr>
        <w:t>Rok 2026 przynosi pierwsze od trzech lat wyraźne osłabienie presji płacowej. Jedynie 39 proc. firm planuje podwyżki w ramach noworocznej rewizji wynagrodzeń. Ponad połowa (52 proc.) zamierza utrzymać stawki na tym samym poziomie. To istotna zmiana względem poprzednich lat, gdy rosnące koszty życia oraz wzrost płacy minimalnej wymuszały częstsz</w:t>
      </w:r>
      <w:bookmarkStart w:id="0" w:name="_GoBack"/>
      <w:bookmarkEnd w:id="0"/>
      <w:r w:rsidRPr="00C71F40">
        <w:rPr>
          <w:rFonts w:ascii="Tahoma" w:eastAsia="Tahoma" w:hAnsi="Tahoma" w:cs="Tahoma"/>
          <w:color w:val="000000" w:themeColor="text1"/>
          <w:sz w:val="20"/>
          <w:szCs w:val="20"/>
          <w:lang w:val="pl-PL"/>
        </w:rPr>
        <w:t xml:space="preserve">e aktualizacje płac. </w:t>
      </w:r>
    </w:p>
    <w:p w14:paraId="13124D57" w14:textId="2F6BC6C9" w:rsidR="00C71F40" w:rsidRPr="00C71F40" w:rsidRDefault="00C71F40" w:rsidP="00C71F40">
      <w:pPr>
        <w:spacing w:before="240" w:line="276" w:lineRule="auto"/>
        <w:rPr>
          <w:rFonts w:ascii="Tahoma" w:eastAsia="Tahoma" w:hAnsi="Tahoma" w:cs="Tahoma"/>
          <w:color w:val="000000" w:themeColor="text1"/>
          <w:sz w:val="20"/>
          <w:szCs w:val="20"/>
          <w:lang w:val="pl-PL"/>
        </w:rPr>
      </w:pPr>
      <w:r w:rsidRPr="00C71F40">
        <w:rPr>
          <w:rFonts w:ascii="Tahoma" w:eastAsia="Tahoma" w:hAnsi="Tahoma" w:cs="Tahoma"/>
          <w:color w:val="000000" w:themeColor="text1"/>
          <w:sz w:val="20"/>
          <w:szCs w:val="20"/>
          <w:lang w:val="pl-PL"/>
        </w:rPr>
        <w:t>Największy odsetek deklaracji podwyżek obserwujemy w sektorach: obsługi nieruchomości i firm (53 proc.), finansów i ubezpieczeń oraz IT (po 45 proc.). Wzrosty częściej planują też firmy zatrudniające powyżej 250 osób (43 proc.). W strukturze wysokości podwyżek dominują te w zakresie 2-4 proc. — deklaruje tak aż 52 proc. firm. Wzrosty 4–7 proc. zapowiada 23 proc. organizacji, natomiast podwyżki 7–10 proc. to rzadkość (5 proc.), a powyżej 10 proc. nie pojawiają się wcale.</w:t>
      </w:r>
    </w:p>
    <w:p w14:paraId="371639A0" w14:textId="5D2D8838" w:rsidR="00C71F40" w:rsidRDefault="00C71F40" w:rsidP="00C71F40">
      <w:pPr>
        <w:spacing w:before="240" w:line="276" w:lineRule="auto"/>
        <w:rPr>
          <w:rFonts w:ascii="Tahoma" w:eastAsia="Tahoma" w:hAnsi="Tahoma" w:cs="Tahoma"/>
          <w:color w:val="000000" w:themeColor="text1"/>
          <w:sz w:val="20"/>
          <w:szCs w:val="20"/>
          <w:lang w:val="pl-PL"/>
        </w:rPr>
      </w:pPr>
      <w:r w:rsidRPr="00C71F40">
        <w:rPr>
          <w:rFonts w:ascii="Tahoma" w:eastAsia="Tahoma" w:hAnsi="Tahoma" w:cs="Tahoma"/>
          <w:color w:val="000000" w:themeColor="text1"/>
          <w:sz w:val="20"/>
          <w:szCs w:val="20"/>
          <w:lang w:val="pl-PL"/>
        </w:rPr>
        <w:t>43 proc. firm zatrudnia obecnie pracowników otrzymujących minimalne wynagrodzenie, mimo to aż 65 proc. z nich deklaruje, że wzrost płacy minimalnej nie wp</w:t>
      </w:r>
      <w:r>
        <w:rPr>
          <w:rFonts w:ascii="Tahoma" w:eastAsia="Tahoma" w:hAnsi="Tahoma" w:cs="Tahoma"/>
          <w:color w:val="000000" w:themeColor="text1"/>
          <w:sz w:val="20"/>
          <w:szCs w:val="20"/>
          <w:lang w:val="pl-PL"/>
        </w:rPr>
        <w:t xml:space="preserve">łynie na ich </w:t>
      </w:r>
      <w:r w:rsidR="00B43495">
        <w:rPr>
          <w:rFonts w:ascii="Tahoma" w:eastAsia="Tahoma" w:hAnsi="Tahoma" w:cs="Tahoma"/>
          <w:color w:val="000000" w:themeColor="text1"/>
          <w:sz w:val="20"/>
          <w:szCs w:val="20"/>
          <w:lang w:val="pl-PL"/>
        </w:rPr>
        <w:t>p</w:t>
      </w:r>
      <w:r>
        <w:rPr>
          <w:rFonts w:ascii="Tahoma" w:eastAsia="Tahoma" w:hAnsi="Tahoma" w:cs="Tahoma"/>
          <w:color w:val="000000" w:themeColor="text1"/>
          <w:sz w:val="20"/>
          <w:szCs w:val="20"/>
          <w:lang w:val="pl-PL"/>
        </w:rPr>
        <w:t>rzedsiębiorstwa.</w:t>
      </w:r>
    </w:p>
    <w:p w14:paraId="270455EE" w14:textId="77777777" w:rsidR="00B43495" w:rsidRDefault="00B43495" w:rsidP="00B43495">
      <w:pPr>
        <w:spacing w:before="100" w:beforeAutospacing="1" w:after="100" w:afterAutospacing="1" w:line="276" w:lineRule="auto"/>
        <w:rPr>
          <w:rFonts w:ascii="Tahoma" w:eastAsia="Arial" w:hAnsi="Tahoma" w:cs="Tahoma"/>
          <w:b/>
          <w:bCs/>
          <w:color w:val="0070C0"/>
          <w:sz w:val="20"/>
          <w:szCs w:val="20"/>
          <w:lang w:val="pl-PL"/>
        </w:rPr>
      </w:pPr>
      <w:r w:rsidRPr="00B43495">
        <w:rPr>
          <w:rFonts w:ascii="Tahoma" w:eastAsia="Arial" w:hAnsi="Tahoma" w:cs="Tahoma"/>
          <w:b/>
          <w:bCs/>
          <w:color w:val="0070C0"/>
          <w:sz w:val="20"/>
          <w:szCs w:val="20"/>
          <w:lang w:val="pl-PL"/>
        </w:rPr>
        <w:t>Świąteczne bonusy: oszczędne budżety, powszechna dostępność</w:t>
      </w:r>
    </w:p>
    <w:p w14:paraId="0328A485" w14:textId="450E0472" w:rsidR="00B43495" w:rsidRPr="00B43495" w:rsidRDefault="00B43495" w:rsidP="00B43495">
      <w:pPr>
        <w:spacing w:beforeAutospacing="1" w:afterAutospacing="1" w:line="276" w:lineRule="auto"/>
        <w:rPr>
          <w:rFonts w:ascii="Tahoma" w:eastAsia="Tahoma" w:hAnsi="Tahoma" w:cs="Tahoma"/>
          <w:color w:val="000000" w:themeColor="text1"/>
          <w:sz w:val="20"/>
          <w:szCs w:val="20"/>
          <w:lang w:val="pl-PL"/>
        </w:rPr>
      </w:pPr>
      <w:r w:rsidRPr="00B43495">
        <w:rPr>
          <w:rFonts w:ascii="Tahoma" w:eastAsia="Tahoma" w:hAnsi="Tahoma" w:cs="Tahoma"/>
          <w:color w:val="000000" w:themeColor="text1"/>
          <w:sz w:val="20"/>
          <w:szCs w:val="20"/>
          <w:lang w:val="pl-PL"/>
        </w:rPr>
        <w:t>Jednym z elementów polityki płacowej są okolicznościowe bonusy. W kończącym się właśnie roku, pracodawcy najczęściej stawiają na organizację firmowych wigilii (21 proc. wskazań) oraz premie okolicznościowe (20 proc.). Znacznie rzadziej decydują się na upominki dla zatrudnionych i ich bliskich (13 proc.) czy bony podarunkowe (10 proc.).</w:t>
      </w:r>
      <w:r>
        <w:rPr>
          <w:rFonts w:ascii="Tahoma" w:eastAsia="Tahoma" w:hAnsi="Tahoma" w:cs="Tahoma"/>
          <w:color w:val="000000" w:themeColor="text1"/>
          <w:sz w:val="20"/>
          <w:szCs w:val="20"/>
          <w:lang w:val="pl-PL"/>
        </w:rPr>
        <w:t xml:space="preserve"> Jeszcze mniej popularne są spotkania</w:t>
      </w:r>
      <w:r w:rsidRPr="00B43495">
        <w:rPr>
          <w:rFonts w:ascii="Tahoma" w:eastAsia="Tahoma" w:hAnsi="Tahoma" w:cs="Tahoma"/>
          <w:color w:val="000000" w:themeColor="text1"/>
          <w:sz w:val="20"/>
          <w:szCs w:val="20"/>
          <w:lang w:val="pl-PL"/>
        </w:rPr>
        <w:t xml:space="preserve"> świąteczne obejmujące rodziny pracowników oraz działania charytatywne (po 2 proc.). Budżety okolicznościowe pozostają umiarkowane – najczęściej będą to wydatki w przedziałach 100-200 zł na osobę (21 proc.) lub 200-300 zł (19 proc.), a wy</w:t>
      </w:r>
      <w:r>
        <w:rPr>
          <w:rFonts w:ascii="Tahoma" w:eastAsia="Tahoma" w:hAnsi="Tahoma" w:cs="Tahoma"/>
          <w:color w:val="000000" w:themeColor="text1"/>
          <w:sz w:val="20"/>
          <w:szCs w:val="20"/>
          <w:lang w:val="pl-PL"/>
        </w:rPr>
        <w:t>ższe kwoty powyżej 500 zł dekla</w:t>
      </w:r>
      <w:r w:rsidRPr="00B43495">
        <w:rPr>
          <w:rFonts w:ascii="Tahoma" w:eastAsia="Tahoma" w:hAnsi="Tahoma" w:cs="Tahoma"/>
          <w:color w:val="000000" w:themeColor="text1"/>
          <w:sz w:val="20"/>
          <w:szCs w:val="20"/>
          <w:lang w:val="pl-PL"/>
        </w:rPr>
        <w:t>ruje jedynie co dziesiąta organizacja.</w:t>
      </w:r>
    </w:p>
    <w:p w14:paraId="6D7764E6" w14:textId="36709398" w:rsidR="00B43495" w:rsidRDefault="00B43495" w:rsidP="00B43495">
      <w:pPr>
        <w:spacing w:beforeAutospacing="1" w:afterAutospacing="1" w:line="276" w:lineRule="auto"/>
        <w:rPr>
          <w:rFonts w:ascii="Tahoma" w:eastAsia="Tahoma" w:hAnsi="Tahoma" w:cs="Tahoma"/>
          <w:color w:val="000000" w:themeColor="text1"/>
          <w:sz w:val="20"/>
          <w:szCs w:val="20"/>
          <w:lang w:val="pl-PL"/>
        </w:rPr>
      </w:pPr>
      <w:r w:rsidRPr="00B43495">
        <w:rPr>
          <w:rFonts w:ascii="Tahoma" w:eastAsia="Tahoma" w:hAnsi="Tahoma" w:cs="Tahoma"/>
          <w:color w:val="000000" w:themeColor="text1"/>
          <w:sz w:val="20"/>
          <w:szCs w:val="20"/>
          <w:lang w:val="pl-PL"/>
        </w:rPr>
        <w:t>Jeżeli firmy decydują się na dodatki finansowe, obejmą one wszystkich pracowników: 97 proc. pracodawców wypłaci premie i przyzna bony wszystkim zatrudn</w:t>
      </w:r>
      <w:r>
        <w:rPr>
          <w:rFonts w:ascii="Tahoma" w:eastAsia="Tahoma" w:hAnsi="Tahoma" w:cs="Tahoma"/>
          <w:color w:val="000000" w:themeColor="text1"/>
          <w:sz w:val="20"/>
          <w:szCs w:val="20"/>
          <w:lang w:val="pl-PL"/>
        </w:rPr>
        <w:t>ionym, a jedynie niewielki odse</w:t>
      </w:r>
      <w:r w:rsidRPr="00B43495">
        <w:rPr>
          <w:rFonts w:ascii="Tahoma" w:eastAsia="Tahoma" w:hAnsi="Tahoma" w:cs="Tahoma"/>
          <w:color w:val="000000" w:themeColor="text1"/>
          <w:sz w:val="20"/>
          <w:szCs w:val="20"/>
          <w:lang w:val="pl-PL"/>
        </w:rPr>
        <w:t>tek ograniczy je do większości zespołu. Wysokość świadczeń będzie zróżnicowana – połowa firm przyzna równe kwoty – a druga połowa wyznaczy je w zależności od stanowiska lub działu. W przypadku bonów towarowych</w:t>
      </w:r>
      <w:r>
        <w:rPr>
          <w:rFonts w:ascii="Tahoma" w:eastAsia="Tahoma" w:hAnsi="Tahoma" w:cs="Tahoma"/>
          <w:color w:val="000000" w:themeColor="text1"/>
          <w:sz w:val="20"/>
          <w:szCs w:val="20"/>
          <w:lang w:val="pl-PL"/>
        </w:rPr>
        <w:t xml:space="preserve"> </w:t>
      </w:r>
      <w:r w:rsidRPr="00B43495">
        <w:rPr>
          <w:rFonts w:ascii="Tahoma" w:eastAsia="Tahoma" w:hAnsi="Tahoma" w:cs="Tahoma"/>
          <w:color w:val="000000" w:themeColor="text1"/>
          <w:sz w:val="20"/>
          <w:szCs w:val="20"/>
          <w:lang w:val="pl-PL"/>
        </w:rPr>
        <w:t>77 proc. firm przyzna je w tej samej wartości wszystkim, a 23 proc. zróżnicuje ich wartość według roli.</w:t>
      </w:r>
    </w:p>
    <w:p w14:paraId="734027F7" w14:textId="7F4A1754" w:rsidR="00B43495" w:rsidRDefault="00B43495" w:rsidP="00B43495">
      <w:pPr>
        <w:spacing w:beforeAutospacing="1" w:afterAutospacing="1" w:line="276" w:lineRule="auto"/>
        <w:rPr>
          <w:rFonts w:ascii="Tahoma" w:eastAsia="Tahoma" w:hAnsi="Tahoma" w:cs="Tahoma"/>
          <w:color w:val="000000" w:themeColor="text1"/>
          <w:sz w:val="20"/>
          <w:szCs w:val="20"/>
          <w:lang w:val="pl-PL"/>
        </w:rPr>
      </w:pPr>
      <w:r w:rsidRPr="44B92B4E">
        <w:rPr>
          <w:rFonts w:ascii="Tahoma" w:eastAsia="Tahoma" w:hAnsi="Tahoma" w:cs="Tahoma"/>
          <w:color w:val="000000" w:themeColor="text1"/>
          <w:sz w:val="19"/>
          <w:szCs w:val="19"/>
          <w:lang w:val="pl-PL"/>
        </w:rPr>
        <w:lastRenderedPageBreak/>
        <w:t xml:space="preserve">– </w:t>
      </w:r>
      <w:r w:rsidRPr="44B92B4E">
        <w:rPr>
          <w:rFonts w:ascii="Tahoma" w:eastAsia="Tahoma" w:hAnsi="Tahoma" w:cs="Tahoma"/>
          <w:i/>
          <w:iCs/>
          <w:color w:val="000000" w:themeColor="text1"/>
          <w:sz w:val="19"/>
          <w:szCs w:val="19"/>
          <w:lang w:val="pl-PL"/>
        </w:rPr>
        <w:t xml:space="preserve">Widzimy wyraźnie, że polskie firmy wyszły z fazy reagowania na turbulencje gospodarcze. Przedsiębiorstwa w znacznie mniejszym stopniu niż w poprzednich latach podlegają impulsom rosnącej pensji minimalnej czy aktualizacji w przepisach. Zamiast tego skupiają się na przewidywalności i kontroli wydatków. Tegoroczna edycja badania pokazuje, że pracodawcy traktują świąteczne benefity bardziej jako element zarządzania wizerunkiem niż narzędzie stricte motywacyjne. Oszczędne budżety przy jednoczesnej szerokiej dystrybucji bonusów świadczą o tym, że firmy wolą zagwarantować minimalny gest i zachować symboliczny wymiar świątecznych działań, ale nie tworzyć presji na rozbudowę benefitów w kolejnych latach – szczególnie w okresach większej ostrożności finansowej – </w:t>
      </w:r>
      <w:r w:rsidRPr="44B92B4E">
        <w:rPr>
          <w:rFonts w:ascii="Tahoma" w:eastAsia="Tahoma" w:hAnsi="Tahoma" w:cs="Tahoma"/>
          <w:sz w:val="20"/>
          <w:szCs w:val="20"/>
          <w:lang w:val="pl-PL"/>
        </w:rPr>
        <w:t>komentuje</w:t>
      </w:r>
      <w:r w:rsidRPr="44B92B4E">
        <w:rPr>
          <w:rFonts w:ascii="Tahoma" w:eastAsia="Tahoma" w:hAnsi="Tahoma" w:cs="Tahoma"/>
          <w:b/>
          <w:bCs/>
          <w:sz w:val="20"/>
          <w:szCs w:val="20"/>
          <w:lang w:val="pl-PL"/>
        </w:rPr>
        <w:t xml:space="preserve"> Joanna Kolasa, HR </w:t>
      </w:r>
      <w:proofErr w:type="spellStart"/>
      <w:r w:rsidRPr="44B92B4E">
        <w:rPr>
          <w:rFonts w:ascii="Tahoma" w:eastAsia="Tahoma" w:hAnsi="Tahoma" w:cs="Tahoma"/>
          <w:b/>
          <w:bCs/>
          <w:sz w:val="20"/>
          <w:szCs w:val="20"/>
          <w:lang w:val="pl-PL"/>
        </w:rPr>
        <w:t>Consultancy</w:t>
      </w:r>
      <w:proofErr w:type="spellEnd"/>
      <w:r w:rsidRPr="44B92B4E">
        <w:rPr>
          <w:rFonts w:ascii="Tahoma" w:eastAsia="Tahoma" w:hAnsi="Tahoma" w:cs="Tahoma"/>
          <w:b/>
          <w:bCs/>
          <w:sz w:val="20"/>
          <w:szCs w:val="20"/>
          <w:lang w:val="pl-PL"/>
        </w:rPr>
        <w:t xml:space="preserve"> Manager w </w:t>
      </w:r>
      <w:proofErr w:type="spellStart"/>
      <w:r w:rsidRPr="44B92B4E">
        <w:rPr>
          <w:rFonts w:ascii="Tahoma" w:eastAsia="Tahoma" w:hAnsi="Tahoma" w:cs="Tahoma"/>
          <w:b/>
          <w:bCs/>
          <w:sz w:val="20"/>
          <w:szCs w:val="20"/>
          <w:lang w:val="pl-PL"/>
        </w:rPr>
        <w:t>Randstad</w:t>
      </w:r>
      <w:proofErr w:type="spellEnd"/>
      <w:r w:rsidRPr="44B92B4E">
        <w:rPr>
          <w:rFonts w:ascii="Tahoma" w:eastAsia="Tahoma" w:hAnsi="Tahoma" w:cs="Tahoma"/>
          <w:b/>
          <w:bCs/>
          <w:sz w:val="20"/>
          <w:szCs w:val="20"/>
          <w:lang w:val="pl-PL"/>
        </w:rPr>
        <w:t xml:space="preserve"> Polska.</w:t>
      </w:r>
    </w:p>
    <w:p w14:paraId="7F286680" w14:textId="77777777" w:rsidR="00B43495" w:rsidRDefault="00B43495" w:rsidP="008D17D2">
      <w:pPr>
        <w:suppressAutoHyphens/>
        <w:spacing w:line="276" w:lineRule="auto"/>
        <w:jc w:val="both"/>
        <w:rPr>
          <w:rFonts w:ascii="Tahoma" w:eastAsia="Arial" w:hAnsi="Tahoma" w:cs="Tahoma"/>
          <w:b/>
          <w:bCs/>
          <w:color w:val="0070C0"/>
          <w:sz w:val="20"/>
          <w:szCs w:val="20"/>
          <w:lang w:val="pl-PL"/>
        </w:rPr>
      </w:pPr>
      <w:r w:rsidRPr="00B43495">
        <w:rPr>
          <w:rFonts w:ascii="Tahoma" w:eastAsia="Arial" w:hAnsi="Tahoma" w:cs="Tahoma"/>
          <w:b/>
          <w:bCs/>
          <w:color w:val="0070C0"/>
          <w:sz w:val="20"/>
          <w:szCs w:val="20"/>
          <w:lang w:val="pl-PL"/>
        </w:rPr>
        <w:t>Rynek pracy utrzymuje zasoby: stabilne zespoły i ograniczone rekrutacje</w:t>
      </w:r>
    </w:p>
    <w:p w14:paraId="017EAE09" w14:textId="77777777" w:rsidR="00B43495" w:rsidRDefault="00B43495" w:rsidP="008D17D2">
      <w:pPr>
        <w:suppressAutoHyphens/>
        <w:spacing w:line="276" w:lineRule="auto"/>
        <w:jc w:val="both"/>
        <w:rPr>
          <w:rFonts w:ascii="Tahoma" w:eastAsia="Arial" w:hAnsi="Tahoma" w:cs="Tahoma"/>
          <w:b/>
          <w:bCs/>
          <w:color w:val="0070C0"/>
          <w:sz w:val="20"/>
          <w:szCs w:val="20"/>
          <w:lang w:val="pl-PL"/>
        </w:rPr>
      </w:pPr>
    </w:p>
    <w:p w14:paraId="2A5CB88A" w14:textId="77777777" w:rsidR="00B43495" w:rsidRDefault="00B43495" w:rsidP="00B43495">
      <w:pPr>
        <w:suppressAutoHyphens/>
        <w:spacing w:line="276" w:lineRule="auto"/>
        <w:jc w:val="both"/>
        <w:rPr>
          <w:rFonts w:ascii="Tahoma" w:eastAsia="Tahoma" w:hAnsi="Tahoma" w:cs="Tahoma"/>
          <w:color w:val="000000" w:themeColor="text1"/>
          <w:sz w:val="20"/>
          <w:szCs w:val="20"/>
          <w:lang w:val="pl-PL"/>
        </w:rPr>
      </w:pPr>
      <w:r w:rsidRPr="00B43495">
        <w:rPr>
          <w:rFonts w:ascii="Tahoma" w:eastAsia="Tahoma" w:hAnsi="Tahoma" w:cs="Tahoma"/>
          <w:color w:val="000000" w:themeColor="text1"/>
          <w:sz w:val="20"/>
          <w:szCs w:val="20"/>
          <w:lang w:val="pl-PL"/>
        </w:rPr>
        <w:t xml:space="preserve">Plany zatrudnienia na pierwszą połowę 2026 roku potwierdzają trend stabilizacji – aż 78 proc. firm deklaruje utrzymanie dotychczasowej liczby pracowników. Nowe rekrutacje planuje tylko 15 proc. przedsiębiorstw. Jednocześnie widać poprawę w poziomie redukcji. Planuje je 5 proc. firm — to wynik o 3 </w:t>
      </w:r>
      <w:proofErr w:type="spellStart"/>
      <w:r w:rsidRPr="00B43495">
        <w:rPr>
          <w:rFonts w:ascii="Tahoma" w:eastAsia="Tahoma" w:hAnsi="Tahoma" w:cs="Tahoma"/>
          <w:color w:val="000000" w:themeColor="text1"/>
          <w:sz w:val="20"/>
          <w:szCs w:val="20"/>
          <w:lang w:val="pl-PL"/>
        </w:rPr>
        <w:t>p.p</w:t>
      </w:r>
      <w:proofErr w:type="spellEnd"/>
      <w:r w:rsidRPr="00B43495">
        <w:rPr>
          <w:rFonts w:ascii="Tahoma" w:eastAsia="Tahoma" w:hAnsi="Tahoma" w:cs="Tahoma"/>
          <w:color w:val="000000" w:themeColor="text1"/>
          <w:sz w:val="20"/>
          <w:szCs w:val="20"/>
          <w:lang w:val="pl-PL"/>
        </w:rPr>
        <w:t>. niższy niż rok wcześniej.</w:t>
      </w:r>
    </w:p>
    <w:p w14:paraId="26924F11" w14:textId="77777777" w:rsidR="009304B8" w:rsidRDefault="009304B8" w:rsidP="00B43495">
      <w:pPr>
        <w:suppressAutoHyphens/>
        <w:spacing w:line="276" w:lineRule="auto"/>
        <w:jc w:val="both"/>
        <w:rPr>
          <w:rFonts w:ascii="Tahoma" w:eastAsia="Tahoma" w:hAnsi="Tahoma" w:cs="Tahoma"/>
          <w:color w:val="000000" w:themeColor="text1"/>
          <w:sz w:val="20"/>
          <w:szCs w:val="20"/>
          <w:lang w:val="pl-PL"/>
        </w:rPr>
      </w:pPr>
    </w:p>
    <w:p w14:paraId="55EFF80C" w14:textId="46C6251F" w:rsidR="009304B8" w:rsidRPr="009304B8" w:rsidRDefault="009304B8" w:rsidP="009304B8">
      <w:pPr>
        <w:spacing w:line="276" w:lineRule="auto"/>
        <w:rPr>
          <w:rFonts w:ascii="Tahoma" w:hAnsi="Tahoma" w:cs="Tahoma"/>
          <w:b/>
          <w:bCs/>
          <w:sz w:val="20"/>
          <w:szCs w:val="20"/>
          <w:lang w:val="pl-PL"/>
        </w:rPr>
      </w:pPr>
      <w:r w:rsidRPr="009304B8">
        <w:rPr>
          <w:rFonts w:ascii="Tahoma" w:eastAsia="Tahoma" w:hAnsi="Tahoma" w:cs="Tahoma"/>
          <w:color w:val="000000" w:themeColor="text1"/>
          <w:sz w:val="20"/>
          <w:szCs w:val="20"/>
          <w:lang w:val="pl-PL"/>
        </w:rPr>
        <w:t xml:space="preserve">– </w:t>
      </w:r>
      <w:r w:rsidRPr="009304B8">
        <w:rPr>
          <w:rFonts w:ascii="Tahoma" w:eastAsia="Tahoma" w:hAnsi="Tahoma" w:cs="Tahoma"/>
          <w:i/>
          <w:iCs/>
          <w:color w:val="000000" w:themeColor="text1"/>
          <w:sz w:val="20"/>
          <w:szCs w:val="20"/>
          <w:lang w:val="pl-PL"/>
        </w:rPr>
        <w:t xml:space="preserve">Tylko dwukrotnie w ponad 15-letniej historii badania mniejszy odsetek pracodawców (14%) planował zwiększanie zatrudnienia. Miało to miejsce w połowie 2010 roku (kiepska koniunktura) i II połowie 2020 roku (pandemia). Szczęśliwie nie dokucza nam pandemia, a na cały 2025 rok przewidywany wzrost gospodarczy to 3,5%, co jest wynikiem, który powinien wpłynąć na kreację nowych miejsc pracy. Akcja rekrutacyjna przedsiębiorstw pozostaje jednak powściągliwa – firmy przeważnie radzą sobie z realizacją dotychczasowych zamówień za pomocą zatrudnianych już pracowników oraz za sprawą wzrostu wydajności uzyskiwanego przez lepszą organizację pracy i hojniejsze wyposażenie pracowników w narzędzia i technologie. Według GUS w II kwartale 2025 roku w naszej gospodarce było tylko 95,7 tys. wolnych miejsc pracy – poza IV kwartałem 2024 roku i okresem pandemii tak mało było ich ostatnio 9 lat temu. Jednak przewidywany na najbliższe dwa lata wzrost gospodarczy ma być zbliżony do tego w roku bieżącym – można więc założyć, że potencjał do zwiększania wydajności pracy u pracodawców będzie się wyczerpywał, a za tym stopniowo i powoli przyjdzie zwiększenie aktywności rekrutacyjnej i większa kreacja miejsc pracy. Na to przyjdzie nam jednak poczekać. Pół roku, rok, a może dłużej </w:t>
      </w:r>
      <w:r w:rsidRPr="009304B8">
        <w:rPr>
          <w:rFonts w:ascii="Tahoma" w:eastAsia="Tahoma" w:hAnsi="Tahoma" w:cs="Tahoma"/>
          <w:color w:val="000000" w:themeColor="text1"/>
          <w:sz w:val="20"/>
          <w:szCs w:val="20"/>
          <w:lang w:val="pl-PL"/>
        </w:rPr>
        <w:t xml:space="preserve">– </w:t>
      </w:r>
      <w:r w:rsidRPr="009304B8">
        <w:rPr>
          <w:rFonts w:ascii="Tahoma" w:eastAsia="Arial" w:hAnsi="Tahoma" w:cs="Tahoma"/>
          <w:sz w:val="20"/>
          <w:szCs w:val="20"/>
          <w:lang w:val="pl-PL"/>
        </w:rPr>
        <w:t xml:space="preserve">ocenia </w:t>
      </w:r>
      <w:r w:rsidRPr="009304B8">
        <w:rPr>
          <w:rFonts w:ascii="Tahoma" w:eastAsia="Arial" w:hAnsi="Tahoma" w:cs="Tahoma"/>
          <w:b/>
          <w:bCs/>
          <w:sz w:val="20"/>
          <w:szCs w:val="20"/>
          <w:lang w:val="pl-PL"/>
        </w:rPr>
        <w:t xml:space="preserve">Łukasz Komuda, ekspert rynku pracy Fundacji Inicjatyw Społeczno-Ekonomicznych i współautor </w:t>
      </w:r>
      <w:proofErr w:type="spellStart"/>
      <w:r w:rsidRPr="009304B8">
        <w:rPr>
          <w:rFonts w:ascii="Tahoma" w:eastAsia="Arial" w:hAnsi="Tahoma" w:cs="Tahoma"/>
          <w:b/>
          <w:bCs/>
          <w:sz w:val="20"/>
          <w:szCs w:val="20"/>
          <w:lang w:val="pl-PL"/>
        </w:rPr>
        <w:t>podcastu</w:t>
      </w:r>
      <w:proofErr w:type="spellEnd"/>
      <w:r w:rsidRPr="009304B8">
        <w:rPr>
          <w:rFonts w:ascii="Tahoma" w:eastAsia="Arial" w:hAnsi="Tahoma" w:cs="Tahoma"/>
          <w:b/>
          <w:bCs/>
          <w:sz w:val="20"/>
          <w:szCs w:val="20"/>
          <w:lang w:val="pl-PL"/>
        </w:rPr>
        <w:t xml:space="preserve"> „Ekonomia i cała reszta”.</w:t>
      </w:r>
    </w:p>
    <w:p w14:paraId="6AAD9790" w14:textId="77777777" w:rsidR="00B43495" w:rsidRPr="00B43495" w:rsidRDefault="00B43495" w:rsidP="00B43495">
      <w:pPr>
        <w:suppressAutoHyphens/>
        <w:spacing w:line="276" w:lineRule="auto"/>
        <w:jc w:val="both"/>
        <w:rPr>
          <w:rFonts w:ascii="Tahoma" w:eastAsia="Tahoma" w:hAnsi="Tahoma" w:cs="Tahoma"/>
          <w:color w:val="000000" w:themeColor="text1"/>
          <w:sz w:val="20"/>
          <w:szCs w:val="20"/>
          <w:lang w:val="pl-PL"/>
        </w:rPr>
      </w:pPr>
    </w:p>
    <w:p w14:paraId="5ADB94E3" w14:textId="422042C0" w:rsidR="008D17D2" w:rsidRDefault="00B43495" w:rsidP="00B43495">
      <w:pPr>
        <w:suppressAutoHyphens/>
        <w:spacing w:line="276" w:lineRule="auto"/>
        <w:jc w:val="both"/>
        <w:rPr>
          <w:rFonts w:ascii="Tahoma" w:eastAsia="Tahoma" w:hAnsi="Tahoma" w:cs="Tahoma"/>
          <w:color w:val="000000" w:themeColor="text1"/>
          <w:sz w:val="20"/>
          <w:szCs w:val="20"/>
          <w:lang w:val="pl-PL"/>
        </w:rPr>
      </w:pPr>
      <w:r w:rsidRPr="00B43495">
        <w:rPr>
          <w:rFonts w:ascii="Tahoma" w:eastAsia="Tahoma" w:hAnsi="Tahoma" w:cs="Tahoma"/>
          <w:color w:val="000000" w:themeColor="text1"/>
          <w:sz w:val="20"/>
          <w:szCs w:val="20"/>
          <w:lang w:val="pl-PL"/>
        </w:rPr>
        <w:t>Najchętniej nowe rekrutacje będą otwierać duże firmy (35 proc. wskazań), a pod względem branży: sektory przemysłu i budownictwa (odpowiednio 23 proc. i 21 proc.). Z kolei obszary obsługi nieruchomości i firm oraz handlu są tymi, gdzie dynamika nowych rekrutacji pozostaje najniższa: tworzenie etatów planuje tam odpowiednio 10 i 9 proc przedsiębiorstw.</w:t>
      </w:r>
    </w:p>
    <w:p w14:paraId="209C6B05" w14:textId="77777777" w:rsidR="00B43495" w:rsidRPr="008D17D2" w:rsidRDefault="00B43495" w:rsidP="00B43495">
      <w:pPr>
        <w:suppressAutoHyphens/>
        <w:spacing w:line="276" w:lineRule="auto"/>
        <w:jc w:val="both"/>
        <w:rPr>
          <w:rFonts w:ascii="Tahoma" w:eastAsia="Tahoma" w:hAnsi="Tahoma" w:cs="Tahoma"/>
          <w:color w:val="000000" w:themeColor="text1"/>
          <w:sz w:val="20"/>
          <w:szCs w:val="20"/>
          <w:lang w:val="pl-PL"/>
        </w:rPr>
      </w:pPr>
    </w:p>
    <w:p w14:paraId="34EB9C50" w14:textId="77777777" w:rsidR="008D17D2" w:rsidRPr="008D17D2" w:rsidRDefault="008D17D2" w:rsidP="008D17D2">
      <w:pPr>
        <w:suppressAutoHyphens/>
        <w:spacing w:line="276" w:lineRule="auto"/>
        <w:jc w:val="both"/>
        <w:rPr>
          <w:rFonts w:ascii="Tahoma" w:eastAsia="Tahoma" w:hAnsi="Tahoma" w:cs="Tahoma"/>
          <w:color w:val="000000" w:themeColor="text1"/>
          <w:sz w:val="20"/>
          <w:szCs w:val="20"/>
          <w:lang w:val="pl-PL"/>
        </w:rPr>
      </w:pPr>
      <w:r w:rsidRPr="008D17D2">
        <w:rPr>
          <w:rFonts w:ascii="Tahoma" w:eastAsia="Tahoma" w:hAnsi="Tahoma" w:cs="Tahoma"/>
          <w:color w:val="000000" w:themeColor="text1"/>
          <w:sz w:val="20"/>
          <w:szCs w:val="20"/>
          <w:lang w:val="pl-PL"/>
        </w:rPr>
        <w:t xml:space="preserve">Inaczej wygląda kwestia wysokości tych świadczeń. Zdania są podzielone: połowa firm planuje równe kwoty premii dla wszystkich, a druga połowa zamierza różnicować stawki w zależności od stanowiska lub działu. 77 proc. firm, które zdecydują się na bony towarowe, przyzna je w tej samej wartości wszystkim pracownikom, a 23 proc. uzależni je od roli w organizacji. </w:t>
      </w:r>
    </w:p>
    <w:p w14:paraId="4DD8665A" w14:textId="77777777" w:rsidR="008D17D2" w:rsidRDefault="008D17D2" w:rsidP="00EC6A2F">
      <w:pPr>
        <w:spacing w:line="276" w:lineRule="auto"/>
        <w:rPr>
          <w:rFonts w:ascii="Tahoma" w:eastAsia="Tahoma" w:hAnsi="Tahoma" w:cs="Tahoma"/>
          <w:i/>
          <w:iCs/>
          <w:sz w:val="19"/>
          <w:szCs w:val="19"/>
          <w:lang w:val="pl-PL"/>
        </w:rPr>
      </w:pPr>
    </w:p>
    <w:p w14:paraId="3F14907A" w14:textId="1E07B455" w:rsidR="00EC6A2F" w:rsidRDefault="00B43495" w:rsidP="00D72017">
      <w:pPr>
        <w:pStyle w:val="HeaderAddress"/>
        <w:spacing w:line="276" w:lineRule="auto"/>
        <w:rPr>
          <w:rFonts w:eastAsia="Arial"/>
          <w:b/>
          <w:bCs/>
          <w:color w:val="0070C0"/>
          <w:sz w:val="20"/>
          <w:szCs w:val="20"/>
          <w:lang w:val="pl-PL"/>
        </w:rPr>
      </w:pPr>
      <w:r w:rsidRPr="00B43495">
        <w:rPr>
          <w:rFonts w:eastAsia="Arial"/>
          <w:b/>
          <w:bCs/>
          <w:color w:val="0070C0"/>
          <w:sz w:val="20"/>
          <w:szCs w:val="20"/>
          <w:lang w:val="pl-PL"/>
        </w:rPr>
        <w:t>Pracodawcy budują odporność — fundamenty finansowe pozostają silne</w:t>
      </w:r>
    </w:p>
    <w:p w14:paraId="289DDC86" w14:textId="77777777" w:rsidR="00B43495" w:rsidRDefault="00B43495" w:rsidP="00D72017">
      <w:pPr>
        <w:pStyle w:val="HeaderAddress"/>
        <w:spacing w:line="276" w:lineRule="auto"/>
        <w:rPr>
          <w:rFonts w:eastAsia="Arial"/>
          <w:b/>
          <w:bCs/>
          <w:color w:val="0070C0"/>
          <w:sz w:val="20"/>
          <w:szCs w:val="20"/>
          <w:lang w:val="pl-PL"/>
        </w:rPr>
      </w:pPr>
    </w:p>
    <w:p w14:paraId="0E18159D" w14:textId="6A21CAC2" w:rsidR="00B43495" w:rsidRDefault="00B43495" w:rsidP="00B43495">
      <w:pPr>
        <w:pStyle w:val="HeaderAddress"/>
        <w:spacing w:line="276" w:lineRule="auto"/>
        <w:rPr>
          <w:color w:val="000000" w:themeColor="text1"/>
          <w:sz w:val="20"/>
          <w:szCs w:val="20"/>
          <w:lang w:val="pl-PL"/>
        </w:rPr>
      </w:pPr>
      <w:r w:rsidRPr="00B43495">
        <w:rPr>
          <w:color w:val="000000" w:themeColor="text1"/>
          <w:sz w:val="20"/>
          <w:szCs w:val="20"/>
          <w:lang w:val="pl-PL"/>
        </w:rPr>
        <w:t xml:space="preserve">Kondycja finansowa przedsiębiorstw jest wyraźnie lepsza niż rok wcześniej. Aż 75 proc. </w:t>
      </w:r>
      <w:r>
        <w:rPr>
          <w:color w:val="000000" w:themeColor="text1"/>
          <w:sz w:val="20"/>
          <w:szCs w:val="20"/>
          <w:lang w:val="pl-PL"/>
        </w:rPr>
        <w:t>przedsiębiorstw</w:t>
      </w:r>
      <w:r w:rsidRPr="00B43495">
        <w:rPr>
          <w:color w:val="000000" w:themeColor="text1"/>
          <w:sz w:val="20"/>
          <w:szCs w:val="20"/>
          <w:lang w:val="pl-PL"/>
        </w:rPr>
        <w:t xml:space="preserve"> określa ją jako dobrą lub bardzo dobrą. To wzrost </w:t>
      </w:r>
      <w:r>
        <w:rPr>
          <w:color w:val="000000" w:themeColor="text1"/>
          <w:sz w:val="20"/>
          <w:szCs w:val="20"/>
          <w:lang w:val="pl-PL"/>
        </w:rPr>
        <w:t xml:space="preserve">o 15 </w:t>
      </w:r>
      <w:proofErr w:type="spellStart"/>
      <w:r>
        <w:rPr>
          <w:color w:val="000000" w:themeColor="text1"/>
          <w:sz w:val="20"/>
          <w:szCs w:val="20"/>
          <w:lang w:val="pl-PL"/>
        </w:rPr>
        <w:t>p.p</w:t>
      </w:r>
      <w:proofErr w:type="spellEnd"/>
      <w:r>
        <w:rPr>
          <w:color w:val="000000" w:themeColor="text1"/>
          <w:sz w:val="20"/>
          <w:szCs w:val="20"/>
          <w:lang w:val="pl-PL"/>
        </w:rPr>
        <w:t>. względem drugiego pół</w:t>
      </w:r>
      <w:r w:rsidRPr="00B43495">
        <w:rPr>
          <w:color w:val="000000" w:themeColor="text1"/>
          <w:sz w:val="20"/>
          <w:szCs w:val="20"/>
          <w:lang w:val="pl-PL"/>
        </w:rPr>
        <w:t xml:space="preserve">rocza 2024 roku. Tylko 3 proc. firm deklaruje złą lub bardzo złą sytuację i odsetek ten zmalał o 4 </w:t>
      </w:r>
      <w:proofErr w:type="spellStart"/>
      <w:r w:rsidRPr="00B43495">
        <w:rPr>
          <w:color w:val="000000" w:themeColor="text1"/>
          <w:sz w:val="20"/>
          <w:szCs w:val="20"/>
          <w:lang w:val="pl-PL"/>
        </w:rPr>
        <w:t>p.p</w:t>
      </w:r>
      <w:proofErr w:type="spellEnd"/>
      <w:r w:rsidRPr="00B43495">
        <w:rPr>
          <w:color w:val="000000" w:themeColor="text1"/>
          <w:sz w:val="20"/>
          <w:szCs w:val="20"/>
          <w:lang w:val="pl-PL"/>
        </w:rPr>
        <w:t xml:space="preserve">. rok do roku. </w:t>
      </w:r>
    </w:p>
    <w:p w14:paraId="5A1E4FF8" w14:textId="77777777" w:rsidR="00B43495" w:rsidRPr="00B43495" w:rsidRDefault="00B43495" w:rsidP="00B43495">
      <w:pPr>
        <w:pStyle w:val="HeaderAddress"/>
        <w:spacing w:line="276" w:lineRule="auto"/>
        <w:rPr>
          <w:color w:val="000000" w:themeColor="text1"/>
          <w:sz w:val="20"/>
          <w:szCs w:val="20"/>
          <w:lang w:val="pl-PL"/>
        </w:rPr>
      </w:pPr>
    </w:p>
    <w:p w14:paraId="2BC27463" w14:textId="79710C88" w:rsidR="00B43495" w:rsidRDefault="00B43495" w:rsidP="00B43495">
      <w:pPr>
        <w:pStyle w:val="HeaderAddress"/>
        <w:spacing w:line="276" w:lineRule="auto"/>
        <w:rPr>
          <w:color w:val="000000" w:themeColor="text1"/>
          <w:sz w:val="20"/>
          <w:szCs w:val="20"/>
          <w:lang w:val="pl-PL"/>
        </w:rPr>
      </w:pPr>
      <w:r w:rsidRPr="00B43495">
        <w:rPr>
          <w:color w:val="000000" w:themeColor="text1"/>
          <w:sz w:val="20"/>
          <w:szCs w:val="20"/>
          <w:lang w:val="pl-PL"/>
        </w:rPr>
        <w:t xml:space="preserve">Sektorowo liderami stabilności pozostają branże finansów i ubezpieczeń (88 proc. dobrych ocen), IT (81 proc.) oraz przemysł (78 proc.). Najsłabiej sytuację finansową postrzega sektor obsługi nieruchomości i firm — 7 proc. przedsiębiorstw deklaruje złą lub bardzo złą kondycję. Silnie zarysowuje się też różnica między największymi a najmniejszymi firmami. Przedsiębiorstwa zatrudniające powyżej 250 osób są o 16 </w:t>
      </w:r>
      <w:proofErr w:type="spellStart"/>
      <w:r w:rsidRPr="00B43495">
        <w:rPr>
          <w:color w:val="000000" w:themeColor="text1"/>
          <w:sz w:val="20"/>
          <w:szCs w:val="20"/>
          <w:lang w:val="pl-PL"/>
        </w:rPr>
        <w:t>p.p</w:t>
      </w:r>
      <w:proofErr w:type="spellEnd"/>
      <w:r w:rsidRPr="00B43495">
        <w:rPr>
          <w:color w:val="000000" w:themeColor="text1"/>
          <w:sz w:val="20"/>
          <w:szCs w:val="20"/>
          <w:lang w:val="pl-PL"/>
        </w:rPr>
        <w:t>. bardziej skłonne oceniać swoją kondycję jako dobrą niż najmniejsze organizacje.</w:t>
      </w:r>
    </w:p>
    <w:p w14:paraId="14FD9EF2" w14:textId="77777777" w:rsidR="00414DD6" w:rsidRDefault="00414DD6" w:rsidP="00B43495">
      <w:pPr>
        <w:pStyle w:val="HeaderAddress"/>
        <w:spacing w:line="276" w:lineRule="auto"/>
        <w:rPr>
          <w:color w:val="000000" w:themeColor="text1"/>
          <w:sz w:val="20"/>
          <w:szCs w:val="20"/>
          <w:lang w:val="pl-PL"/>
        </w:rPr>
      </w:pPr>
    </w:p>
    <w:p w14:paraId="60C76B66" w14:textId="40E9D1F1" w:rsidR="00414DD6" w:rsidRPr="00414DD6" w:rsidRDefault="00414DD6" w:rsidP="00414DD6">
      <w:pPr>
        <w:pStyle w:val="HeaderAddress"/>
        <w:spacing w:line="276" w:lineRule="auto"/>
        <w:rPr>
          <w:color w:val="000000" w:themeColor="text1"/>
          <w:sz w:val="20"/>
          <w:szCs w:val="20"/>
          <w:lang w:val="pl-PL"/>
        </w:rPr>
      </w:pPr>
      <w:r w:rsidRPr="00B43495">
        <w:rPr>
          <w:color w:val="000000" w:themeColor="text1"/>
          <w:sz w:val="20"/>
          <w:szCs w:val="20"/>
          <w:lang w:val="pl-PL"/>
        </w:rPr>
        <w:t>–</w:t>
      </w:r>
      <w:r>
        <w:rPr>
          <w:color w:val="000000" w:themeColor="text1"/>
          <w:sz w:val="20"/>
          <w:szCs w:val="20"/>
          <w:lang w:val="pl-PL"/>
        </w:rPr>
        <w:t xml:space="preserve"> </w:t>
      </w:r>
      <w:r w:rsidRPr="00414DD6">
        <w:rPr>
          <w:i/>
          <w:color w:val="000000" w:themeColor="text1"/>
          <w:sz w:val="20"/>
          <w:szCs w:val="20"/>
          <w:lang w:val="pl-PL"/>
        </w:rPr>
        <w:t xml:space="preserve">Jednym </w:t>
      </w:r>
      <w:r w:rsidRPr="00414DD6">
        <w:rPr>
          <w:i/>
          <w:color w:val="000000" w:themeColor="text1"/>
          <w:sz w:val="20"/>
          <w:szCs w:val="20"/>
          <w:lang w:val="pl-PL"/>
        </w:rPr>
        <w:t>z najważniejszych wniosków z najnowszej edycji „Planów Pracodawców” jest wysoka odporność przedsiębiorstw na zmienną koniunkturę. Aż 75% firm ocenia swoją kondycję finansową jako dobrą lub bardzo dobrą, przy jedynie 3% wskazań negatywnych. Tak solidne fundamenty umożliwiają utrzymanie ostrożnej, lecz konsekwentnej polityki zatrudnienia. Zdecydowana większość organizacji (78%) nie planuje żadnych zmian kadrowych w pierwszym półroczu 2026 roku, a redukcje etatów zapowiada jedynie 5% firm, co wskazuje na wyraźne dążenie do ochrony posiadanych zasobów.</w:t>
      </w:r>
      <w:r w:rsidRPr="00414DD6">
        <w:rPr>
          <w:i/>
          <w:color w:val="000000" w:themeColor="text1"/>
          <w:sz w:val="20"/>
          <w:szCs w:val="20"/>
          <w:lang w:val="pl-PL"/>
        </w:rPr>
        <w:t xml:space="preserve"> </w:t>
      </w:r>
      <w:r w:rsidRPr="00414DD6">
        <w:rPr>
          <w:i/>
          <w:color w:val="000000" w:themeColor="text1"/>
          <w:sz w:val="20"/>
          <w:szCs w:val="20"/>
          <w:lang w:val="pl-PL"/>
        </w:rPr>
        <w:t>Dane potwierdzają, że przedsiębiorcy koncentrują się dziś na stabilizacji kosztów, także w obszarze wynagrodzeń. Ponad połowa firm (52%) nie przewiduje zmian płac, a podwyżki planuje 39% organizacji, przy czym ich poziom ma pozostać umiarkowany i w większości nieprzekraczający inflacji. W tym kontekście kluczowe będzie wsparcie przedsiębiorstw w zarządzaniu kosztami pracy, tak aby utrzymać wysoki poziom zatrudnienia i nie obciążać nadm</w:t>
      </w:r>
      <w:r w:rsidRPr="00414DD6">
        <w:rPr>
          <w:i/>
          <w:color w:val="000000" w:themeColor="text1"/>
          <w:sz w:val="20"/>
          <w:szCs w:val="20"/>
          <w:lang w:val="pl-PL"/>
        </w:rPr>
        <w:t>iernie ich płynności finansowej</w:t>
      </w:r>
      <w:r>
        <w:rPr>
          <w:color w:val="000000" w:themeColor="text1"/>
          <w:sz w:val="20"/>
          <w:szCs w:val="20"/>
          <w:lang w:val="pl-PL"/>
        </w:rPr>
        <w:t xml:space="preserve"> – komentuje </w:t>
      </w:r>
      <w:r>
        <w:rPr>
          <w:b/>
          <w:color w:val="000000" w:themeColor="text1"/>
          <w:sz w:val="20"/>
          <w:szCs w:val="20"/>
          <w:lang w:val="pl-PL"/>
        </w:rPr>
        <w:t xml:space="preserve">Nadia </w:t>
      </w:r>
      <w:r w:rsidRPr="00414DD6">
        <w:rPr>
          <w:b/>
          <w:color w:val="000000" w:themeColor="text1"/>
          <w:sz w:val="20"/>
          <w:szCs w:val="20"/>
          <w:lang w:val="pl-PL"/>
        </w:rPr>
        <w:t>Winiarska</w:t>
      </w:r>
      <w:r>
        <w:rPr>
          <w:b/>
          <w:color w:val="000000" w:themeColor="text1"/>
          <w:sz w:val="20"/>
          <w:szCs w:val="20"/>
          <w:lang w:val="pl-PL"/>
        </w:rPr>
        <w:t>, ekspertka ds. z</w:t>
      </w:r>
      <w:r w:rsidRPr="00414DD6">
        <w:rPr>
          <w:b/>
          <w:color w:val="000000" w:themeColor="text1"/>
          <w:sz w:val="20"/>
          <w:szCs w:val="20"/>
          <w:lang w:val="pl-PL"/>
        </w:rPr>
        <w:t>atrudnienia</w:t>
      </w:r>
      <w:r>
        <w:rPr>
          <w:b/>
          <w:color w:val="000000" w:themeColor="text1"/>
          <w:sz w:val="20"/>
          <w:szCs w:val="20"/>
          <w:lang w:val="pl-PL"/>
        </w:rPr>
        <w:t xml:space="preserve"> w</w:t>
      </w:r>
      <w:r w:rsidRPr="00414DD6">
        <w:rPr>
          <w:b/>
          <w:color w:val="000000" w:themeColor="text1"/>
          <w:sz w:val="20"/>
          <w:szCs w:val="20"/>
          <w:lang w:val="pl-PL"/>
        </w:rPr>
        <w:t xml:space="preserve"> D</w:t>
      </w:r>
      <w:r>
        <w:rPr>
          <w:b/>
          <w:color w:val="000000" w:themeColor="text1"/>
          <w:sz w:val="20"/>
          <w:szCs w:val="20"/>
          <w:lang w:val="pl-PL"/>
        </w:rPr>
        <w:t>epartamencie</w:t>
      </w:r>
      <w:r w:rsidRPr="00414DD6">
        <w:rPr>
          <w:b/>
          <w:color w:val="000000" w:themeColor="text1"/>
          <w:sz w:val="20"/>
          <w:szCs w:val="20"/>
          <w:lang w:val="pl-PL"/>
        </w:rPr>
        <w:t xml:space="preserve"> Pracy</w:t>
      </w:r>
      <w:r>
        <w:rPr>
          <w:b/>
          <w:color w:val="000000" w:themeColor="text1"/>
          <w:sz w:val="20"/>
          <w:szCs w:val="20"/>
          <w:lang w:val="pl-PL"/>
        </w:rPr>
        <w:t xml:space="preserve"> Konfederacji Lewiatan</w:t>
      </w:r>
      <w:r>
        <w:rPr>
          <w:color w:val="000000" w:themeColor="text1"/>
          <w:sz w:val="20"/>
          <w:szCs w:val="20"/>
          <w:lang w:val="pl-PL"/>
        </w:rPr>
        <w:t>.</w:t>
      </w:r>
    </w:p>
    <w:p w14:paraId="2D6C57E8" w14:textId="77777777" w:rsidR="00B43495" w:rsidRDefault="00B43495" w:rsidP="00B43495">
      <w:pPr>
        <w:pStyle w:val="HeaderAddress"/>
        <w:spacing w:line="276" w:lineRule="auto"/>
        <w:rPr>
          <w:color w:val="000000" w:themeColor="text1"/>
          <w:sz w:val="20"/>
          <w:szCs w:val="20"/>
          <w:lang w:val="pl-PL"/>
        </w:rPr>
      </w:pPr>
    </w:p>
    <w:p w14:paraId="55652523" w14:textId="16C250A3" w:rsidR="00B43495" w:rsidRDefault="00B43495" w:rsidP="00B43495">
      <w:pPr>
        <w:pStyle w:val="HeaderAddress"/>
        <w:spacing w:line="276" w:lineRule="auto"/>
        <w:rPr>
          <w:rFonts w:eastAsia="Arial"/>
          <w:b/>
          <w:bCs/>
          <w:color w:val="0070C0"/>
          <w:sz w:val="20"/>
          <w:szCs w:val="20"/>
          <w:lang w:val="pl-PL"/>
        </w:rPr>
      </w:pPr>
      <w:r w:rsidRPr="00B43495">
        <w:rPr>
          <w:rFonts w:eastAsia="Arial"/>
          <w:b/>
          <w:bCs/>
          <w:color w:val="0070C0"/>
          <w:sz w:val="20"/>
          <w:szCs w:val="20"/>
          <w:lang w:val="pl-PL"/>
        </w:rPr>
        <w:t>Gospodarka hamuje: firmy między stabilizacją a ostrożnym optymizmem</w:t>
      </w:r>
    </w:p>
    <w:p w14:paraId="30753A8C" w14:textId="77777777" w:rsidR="00B43495" w:rsidRDefault="00B43495" w:rsidP="00B43495">
      <w:pPr>
        <w:pStyle w:val="HeaderAddress"/>
        <w:spacing w:line="276" w:lineRule="auto"/>
        <w:rPr>
          <w:color w:val="000000" w:themeColor="text1"/>
          <w:sz w:val="20"/>
          <w:szCs w:val="20"/>
          <w:lang w:val="pl-PL"/>
        </w:rPr>
      </w:pPr>
    </w:p>
    <w:p w14:paraId="3D30CF74" w14:textId="77777777" w:rsidR="00B43495" w:rsidRDefault="00B43495" w:rsidP="00B43495">
      <w:pPr>
        <w:pStyle w:val="HeaderAddress"/>
        <w:spacing w:line="276" w:lineRule="auto"/>
        <w:rPr>
          <w:color w:val="000000" w:themeColor="text1"/>
          <w:sz w:val="20"/>
          <w:szCs w:val="20"/>
          <w:lang w:val="pl-PL"/>
        </w:rPr>
      </w:pPr>
      <w:r w:rsidRPr="00B43495">
        <w:rPr>
          <w:color w:val="000000" w:themeColor="text1"/>
          <w:sz w:val="20"/>
          <w:szCs w:val="20"/>
          <w:lang w:val="pl-PL"/>
        </w:rPr>
        <w:t xml:space="preserve">Stabilne wyniki finansowe nie wykluczają ostrożności w prognozach gospodarczych. W pierwszej połowie 2026 roku aż 54 proc. firm spodziewa się stagnacji w scenariuszu makroekonomicznym. To chłodniejsze nastroje niż te, które były przewidywane w analogicznym okresie bieżącego roku. Wtedy poziom optymizmu był o 2 </w:t>
      </w:r>
      <w:proofErr w:type="spellStart"/>
      <w:r w:rsidRPr="00B43495">
        <w:rPr>
          <w:color w:val="000000" w:themeColor="text1"/>
          <w:sz w:val="20"/>
          <w:szCs w:val="20"/>
          <w:lang w:val="pl-PL"/>
        </w:rPr>
        <w:t>p.p</w:t>
      </w:r>
      <w:proofErr w:type="spellEnd"/>
      <w:r w:rsidRPr="00B43495">
        <w:rPr>
          <w:color w:val="000000" w:themeColor="text1"/>
          <w:sz w:val="20"/>
          <w:szCs w:val="20"/>
          <w:lang w:val="pl-PL"/>
        </w:rPr>
        <w:t>. wyższy. Jednocześnie pracodawcy przewidują stabilizację po osłabieniu z drugiej połowy 2025 roku.</w:t>
      </w:r>
    </w:p>
    <w:p w14:paraId="6B20EBF8" w14:textId="149359A1" w:rsidR="00B43495" w:rsidRPr="00B43495" w:rsidRDefault="00B43495" w:rsidP="00B43495">
      <w:pPr>
        <w:pStyle w:val="HeaderAddress"/>
        <w:spacing w:line="276" w:lineRule="auto"/>
        <w:rPr>
          <w:color w:val="000000" w:themeColor="text1"/>
          <w:sz w:val="20"/>
          <w:szCs w:val="20"/>
          <w:lang w:val="pl-PL"/>
        </w:rPr>
      </w:pPr>
      <w:r w:rsidRPr="00B43495">
        <w:rPr>
          <w:color w:val="000000" w:themeColor="text1"/>
          <w:sz w:val="20"/>
          <w:szCs w:val="20"/>
          <w:lang w:val="pl-PL"/>
        </w:rPr>
        <w:t xml:space="preserve"> </w:t>
      </w:r>
    </w:p>
    <w:p w14:paraId="69097CB5" w14:textId="1EB7A27B" w:rsidR="00B43495" w:rsidRPr="00B43495" w:rsidRDefault="00B43495" w:rsidP="00B43495">
      <w:pPr>
        <w:pStyle w:val="HeaderAddress"/>
        <w:spacing w:line="276" w:lineRule="auto"/>
        <w:rPr>
          <w:color w:val="000000" w:themeColor="text1"/>
          <w:sz w:val="20"/>
          <w:szCs w:val="20"/>
          <w:lang w:val="pl-PL"/>
        </w:rPr>
      </w:pPr>
      <w:r w:rsidRPr="00B43495">
        <w:rPr>
          <w:color w:val="000000" w:themeColor="text1"/>
          <w:sz w:val="20"/>
          <w:szCs w:val="20"/>
          <w:lang w:val="pl-PL"/>
        </w:rPr>
        <w:t>Różnice w percepcji koniunktury są jednak bardzo wyraźne w ujęciu branżowym. Największy optymizm prezentują sektory: przemysłu (32 proc. wskazań na wzrost), budownictwa (26 proc.) oraz finansów i ubezpieczeń (25 proc.). Najgorzej sytuację widzą branże transportu i logistyki, pozostałych usług oraz IT. Recesję wskazało tu odpowiednio 28, 26 i 24 proc. przedsiębiorstw. Stagnację przewidują w podobnym stopniu firmy ze wszystk</w:t>
      </w:r>
      <w:r>
        <w:rPr>
          <w:color w:val="000000" w:themeColor="text1"/>
          <w:sz w:val="20"/>
          <w:szCs w:val="20"/>
          <w:lang w:val="pl-PL"/>
        </w:rPr>
        <w:t>ich badanych branż. Optymizm go</w:t>
      </w:r>
      <w:r w:rsidRPr="00B43495">
        <w:rPr>
          <w:color w:val="000000" w:themeColor="text1"/>
          <w:sz w:val="20"/>
          <w:szCs w:val="20"/>
          <w:lang w:val="pl-PL"/>
        </w:rPr>
        <w:t>spodarczy rośnie wraz z wielkością firmy: 37 proc. dużych prz</w:t>
      </w:r>
      <w:r>
        <w:rPr>
          <w:color w:val="000000" w:themeColor="text1"/>
          <w:sz w:val="20"/>
          <w:szCs w:val="20"/>
          <w:lang w:val="pl-PL"/>
        </w:rPr>
        <w:t>edsiębiorstw spodziewa się wzro</w:t>
      </w:r>
      <w:r w:rsidRPr="00B43495">
        <w:rPr>
          <w:color w:val="000000" w:themeColor="text1"/>
          <w:sz w:val="20"/>
          <w:szCs w:val="20"/>
          <w:lang w:val="pl-PL"/>
        </w:rPr>
        <w:t xml:space="preserve">stu. W średnich firmach odsetek ten wynosi 28 proc., a </w:t>
      </w:r>
      <w:proofErr w:type="spellStart"/>
      <w:r w:rsidRPr="00B43495">
        <w:rPr>
          <w:color w:val="000000" w:themeColor="text1"/>
          <w:sz w:val="20"/>
          <w:szCs w:val="20"/>
          <w:lang w:val="pl-PL"/>
        </w:rPr>
        <w:t>mikrofir</w:t>
      </w:r>
      <w:r>
        <w:rPr>
          <w:color w:val="000000" w:themeColor="text1"/>
          <w:sz w:val="20"/>
          <w:szCs w:val="20"/>
          <w:lang w:val="pl-PL"/>
        </w:rPr>
        <w:t>my</w:t>
      </w:r>
      <w:proofErr w:type="spellEnd"/>
      <w:r>
        <w:rPr>
          <w:color w:val="000000" w:themeColor="text1"/>
          <w:sz w:val="20"/>
          <w:szCs w:val="20"/>
          <w:lang w:val="pl-PL"/>
        </w:rPr>
        <w:t xml:space="preserve"> pozostają najbardziej ostroż</w:t>
      </w:r>
      <w:r w:rsidRPr="00B43495">
        <w:rPr>
          <w:color w:val="000000" w:themeColor="text1"/>
          <w:sz w:val="20"/>
          <w:szCs w:val="20"/>
          <w:lang w:val="pl-PL"/>
        </w:rPr>
        <w:t>ne, zaledwie 15 proc. przewiduje poprawę koniunktury.</w:t>
      </w:r>
    </w:p>
    <w:p w14:paraId="2C021016" w14:textId="77777777" w:rsidR="00B43495" w:rsidRPr="00B43495" w:rsidRDefault="00B43495" w:rsidP="00B43495">
      <w:pPr>
        <w:pStyle w:val="HeaderAddress"/>
        <w:spacing w:line="276" w:lineRule="auto"/>
        <w:rPr>
          <w:color w:val="000000" w:themeColor="text1"/>
          <w:sz w:val="20"/>
          <w:szCs w:val="20"/>
          <w:lang w:val="pl-PL"/>
        </w:rPr>
      </w:pPr>
    </w:p>
    <w:p w14:paraId="379C35A3" w14:textId="06B5A769" w:rsidR="00B43495" w:rsidRDefault="00B43495" w:rsidP="00B43495">
      <w:pPr>
        <w:pStyle w:val="HeaderAddress"/>
        <w:spacing w:line="276" w:lineRule="auto"/>
        <w:rPr>
          <w:color w:val="000000" w:themeColor="text1"/>
          <w:sz w:val="20"/>
          <w:szCs w:val="20"/>
          <w:lang w:val="pl-PL"/>
        </w:rPr>
      </w:pPr>
      <w:r w:rsidRPr="00B43495">
        <w:rPr>
          <w:color w:val="000000" w:themeColor="text1"/>
          <w:sz w:val="20"/>
          <w:szCs w:val="20"/>
          <w:lang w:val="pl-PL"/>
        </w:rPr>
        <w:t xml:space="preserve">– </w:t>
      </w:r>
      <w:r w:rsidRPr="00B43495">
        <w:rPr>
          <w:i/>
          <w:color w:val="000000" w:themeColor="text1"/>
          <w:sz w:val="20"/>
          <w:szCs w:val="20"/>
          <w:lang w:val="pl-PL"/>
        </w:rPr>
        <w:t>Stabilizacja gospodarcza, którą prognozują pracodawcy, stw</w:t>
      </w:r>
      <w:r>
        <w:rPr>
          <w:i/>
          <w:color w:val="000000" w:themeColor="text1"/>
          <w:sz w:val="20"/>
          <w:szCs w:val="20"/>
          <w:lang w:val="pl-PL"/>
        </w:rPr>
        <w:t xml:space="preserve">arza idealną przestrzeń do </w:t>
      </w:r>
      <w:r w:rsidRPr="00893AE8">
        <w:rPr>
          <w:i/>
          <w:color w:val="000000" w:themeColor="text1"/>
          <w:sz w:val="20"/>
          <w:szCs w:val="20"/>
          <w:lang w:val="pl-PL"/>
        </w:rPr>
        <w:t xml:space="preserve">inwestowania w kapitał ludzki. Firmy, które wykorzystają ten czas na rozwój kompetencji zespołów, zbudują trwałą przewagę konkurencyjną. W obliczu uspokojenia presji płacowej, kluczowym narzędziem budowania zaangażowania stają się niematerialne atuty organizacji – takie jak programy </w:t>
      </w:r>
      <w:proofErr w:type="spellStart"/>
      <w:r w:rsidRPr="00893AE8">
        <w:rPr>
          <w:i/>
          <w:color w:val="000000" w:themeColor="text1"/>
          <w:sz w:val="20"/>
          <w:szCs w:val="20"/>
          <w:lang w:val="pl-PL"/>
        </w:rPr>
        <w:t>mentoringowe</w:t>
      </w:r>
      <w:proofErr w:type="spellEnd"/>
      <w:r w:rsidRPr="00893AE8">
        <w:rPr>
          <w:i/>
          <w:color w:val="000000" w:themeColor="text1"/>
          <w:sz w:val="20"/>
          <w:szCs w:val="20"/>
          <w:lang w:val="pl-PL"/>
        </w:rPr>
        <w:t xml:space="preserve"> czy jasne ścieżki awansu. Obserwujemy ewolucję rynku pracy, w której o atrakcyjności pracodawcy coraz częściej decyduje nie tylko wysokość wynagrodzenia, ale przede wszystkim jakość kultury organizacyjnej i realne perspektywy rozwoju</w:t>
      </w:r>
      <w:r w:rsidRPr="00893AE8">
        <w:rPr>
          <w:color w:val="000000" w:themeColor="text1"/>
          <w:sz w:val="20"/>
          <w:szCs w:val="20"/>
          <w:lang w:val="pl-PL"/>
        </w:rPr>
        <w:t xml:space="preserve"> – podsumowuje </w:t>
      </w:r>
      <w:r>
        <w:rPr>
          <w:b/>
          <w:color w:val="000000" w:themeColor="text1"/>
          <w:sz w:val="20"/>
          <w:szCs w:val="20"/>
          <w:lang w:val="pl-PL"/>
        </w:rPr>
        <w:t xml:space="preserve">Marzena </w:t>
      </w:r>
      <w:proofErr w:type="spellStart"/>
      <w:r>
        <w:rPr>
          <w:b/>
          <w:color w:val="000000" w:themeColor="text1"/>
          <w:sz w:val="20"/>
          <w:szCs w:val="20"/>
          <w:lang w:val="pl-PL"/>
        </w:rPr>
        <w:t>Milinkiewicz</w:t>
      </w:r>
      <w:proofErr w:type="spellEnd"/>
      <w:r w:rsidRPr="00B43495">
        <w:rPr>
          <w:b/>
          <w:color w:val="000000" w:themeColor="text1"/>
          <w:sz w:val="20"/>
          <w:szCs w:val="20"/>
          <w:lang w:val="pl-PL"/>
        </w:rPr>
        <w:t xml:space="preserve">, Dyrektor Zarządzająca </w:t>
      </w:r>
      <w:proofErr w:type="spellStart"/>
      <w:r w:rsidRPr="00B43495">
        <w:rPr>
          <w:b/>
          <w:color w:val="000000" w:themeColor="text1"/>
          <w:sz w:val="20"/>
          <w:szCs w:val="20"/>
          <w:lang w:val="pl-PL"/>
        </w:rPr>
        <w:t>Randstad</w:t>
      </w:r>
      <w:proofErr w:type="spellEnd"/>
      <w:r w:rsidRPr="00B43495">
        <w:rPr>
          <w:b/>
          <w:color w:val="000000" w:themeColor="text1"/>
          <w:sz w:val="20"/>
          <w:szCs w:val="20"/>
          <w:lang w:val="pl-PL"/>
        </w:rPr>
        <w:t xml:space="preserve"> Polska</w:t>
      </w:r>
      <w:r w:rsidRPr="00B43495">
        <w:rPr>
          <w:color w:val="000000" w:themeColor="text1"/>
          <w:sz w:val="20"/>
          <w:szCs w:val="20"/>
          <w:lang w:val="pl-PL"/>
        </w:rPr>
        <w:t>.</w:t>
      </w:r>
    </w:p>
    <w:p w14:paraId="244E850F" w14:textId="77777777" w:rsidR="00B43495" w:rsidRDefault="00B43495" w:rsidP="00B43495">
      <w:pPr>
        <w:pStyle w:val="HeaderAddress"/>
        <w:spacing w:line="276" w:lineRule="auto"/>
        <w:rPr>
          <w:color w:val="000000" w:themeColor="text1"/>
          <w:sz w:val="20"/>
          <w:szCs w:val="20"/>
          <w:lang w:val="pl-PL"/>
        </w:rPr>
      </w:pPr>
    </w:p>
    <w:p w14:paraId="57EEC551" w14:textId="77777777" w:rsidR="00B43495" w:rsidRDefault="00B43495" w:rsidP="00B43495">
      <w:pPr>
        <w:pStyle w:val="HeaderAddress"/>
        <w:spacing w:line="276" w:lineRule="auto"/>
        <w:rPr>
          <w:color w:val="0070C0"/>
          <w:sz w:val="18"/>
          <w:szCs w:val="18"/>
          <w:u w:color="0070C0"/>
          <w:lang w:val="pl-PL"/>
        </w:rPr>
      </w:pPr>
    </w:p>
    <w:p w14:paraId="37DF8A94" w14:textId="4C7BC584" w:rsidR="005F07BC" w:rsidRPr="00010C3C" w:rsidRDefault="001A7186" w:rsidP="00D72017">
      <w:pPr>
        <w:pStyle w:val="HeaderAddress"/>
        <w:spacing w:line="276" w:lineRule="auto"/>
        <w:rPr>
          <w:rFonts w:eastAsia="Tahoma Bold"/>
          <w:color w:val="0070C0"/>
          <w:sz w:val="18"/>
          <w:szCs w:val="18"/>
          <w:u w:color="0070C0"/>
          <w:lang w:val="pl-PL"/>
        </w:rPr>
      </w:pPr>
      <w:r w:rsidRPr="00010C3C">
        <w:rPr>
          <w:color w:val="0070C0"/>
          <w:sz w:val="18"/>
          <w:szCs w:val="18"/>
          <w:u w:color="0070C0"/>
          <w:lang w:val="pl-PL"/>
        </w:rPr>
        <w:t>Kontakt:</w:t>
      </w:r>
    </w:p>
    <w:p w14:paraId="15D42051" w14:textId="77777777" w:rsidR="005F07BC" w:rsidRPr="00010C3C" w:rsidRDefault="001A7186" w:rsidP="00D72017">
      <w:pPr>
        <w:pStyle w:val="HeaderAddress"/>
        <w:spacing w:line="276" w:lineRule="auto"/>
        <w:rPr>
          <w:rFonts w:eastAsia="Tahoma Bold"/>
          <w:sz w:val="18"/>
          <w:szCs w:val="18"/>
          <w:lang w:val="pl-PL"/>
        </w:rPr>
      </w:pPr>
      <w:r w:rsidRPr="00010C3C">
        <w:rPr>
          <w:sz w:val="18"/>
          <w:szCs w:val="18"/>
          <w:lang w:val="pl-PL"/>
        </w:rPr>
        <w:lastRenderedPageBreak/>
        <w:t>Mateusz Żydek</w:t>
      </w:r>
    </w:p>
    <w:p w14:paraId="05E88105" w14:textId="77777777" w:rsidR="005F07BC" w:rsidRPr="00010C3C" w:rsidRDefault="001A7186" w:rsidP="00D72017">
      <w:pPr>
        <w:pStyle w:val="HeaderAddress"/>
        <w:spacing w:line="276" w:lineRule="auto"/>
        <w:rPr>
          <w:sz w:val="18"/>
          <w:szCs w:val="18"/>
          <w:lang w:val="pl-PL"/>
        </w:rPr>
      </w:pPr>
      <w:r w:rsidRPr="00010C3C">
        <w:rPr>
          <w:sz w:val="18"/>
          <w:szCs w:val="18"/>
          <w:lang w:val="pl-PL"/>
        </w:rPr>
        <w:t>Rzecznik Prasowy</w:t>
      </w:r>
    </w:p>
    <w:p w14:paraId="43AA5C22" w14:textId="77777777" w:rsidR="005F07BC" w:rsidRPr="00010C3C" w:rsidRDefault="001A7186" w:rsidP="00D72017">
      <w:pPr>
        <w:pStyle w:val="HeaderAddress"/>
        <w:spacing w:line="276" w:lineRule="auto"/>
        <w:rPr>
          <w:sz w:val="18"/>
          <w:szCs w:val="18"/>
          <w:lang w:val="pl-PL"/>
        </w:rPr>
      </w:pPr>
      <w:r w:rsidRPr="00010C3C">
        <w:rPr>
          <w:sz w:val="18"/>
          <w:szCs w:val="18"/>
          <w:lang w:val="pl-PL"/>
        </w:rPr>
        <w:t>Tel. +48 665 305 902</w:t>
      </w:r>
    </w:p>
    <w:p w14:paraId="799D4A7B" w14:textId="77777777" w:rsidR="005F07BC" w:rsidRPr="00010C3C" w:rsidRDefault="001A7186" w:rsidP="00D72017">
      <w:pPr>
        <w:pStyle w:val="HeaderAddress"/>
        <w:spacing w:line="276" w:lineRule="auto"/>
        <w:rPr>
          <w:rStyle w:val="Brak"/>
          <w:color w:val="4F81BD"/>
          <w:sz w:val="18"/>
          <w:szCs w:val="18"/>
          <w:u w:color="4F81BD"/>
          <w:lang w:val="pl-PL"/>
        </w:rPr>
      </w:pPr>
      <w:r w:rsidRPr="00010C3C">
        <w:rPr>
          <w:sz w:val="18"/>
          <w:szCs w:val="18"/>
          <w:lang w:val="pl-PL"/>
        </w:rPr>
        <w:t xml:space="preserve">Email: </w:t>
      </w:r>
      <w:hyperlink r:id="rId11" w:history="1">
        <w:r w:rsidRPr="00010C3C">
          <w:rPr>
            <w:rStyle w:val="Hyperlink0"/>
            <w:lang w:val="pl-PL"/>
          </w:rPr>
          <w:t>mateusz.zydek@randstad.pl</w:t>
        </w:r>
      </w:hyperlink>
    </w:p>
    <w:p w14:paraId="223F517D" w14:textId="77777777" w:rsidR="005F07BC" w:rsidRPr="00010C3C" w:rsidRDefault="005F07BC" w:rsidP="00204078">
      <w:pPr>
        <w:pStyle w:val="HeaderAddress"/>
        <w:spacing w:line="276" w:lineRule="auto"/>
        <w:jc w:val="both"/>
        <w:rPr>
          <w:rStyle w:val="Brak"/>
          <w:color w:val="4F81BD"/>
          <w:sz w:val="18"/>
          <w:szCs w:val="18"/>
          <w:u w:color="4F81BD"/>
          <w:lang w:val="pl-PL"/>
        </w:rPr>
      </w:pPr>
    </w:p>
    <w:p w14:paraId="7225E52D" w14:textId="77777777" w:rsidR="005F07BC" w:rsidRPr="00010C3C" w:rsidRDefault="005F07BC" w:rsidP="00204078">
      <w:pPr>
        <w:pStyle w:val="Normalny1"/>
        <w:pBdr>
          <w:bottom w:val="single" w:sz="6" w:space="0" w:color="000000"/>
        </w:pBdr>
        <w:spacing w:line="276" w:lineRule="auto"/>
        <w:jc w:val="both"/>
        <w:rPr>
          <w:rStyle w:val="Brak"/>
          <w:rFonts w:eastAsia="Tahoma Bold"/>
          <w:sz w:val="14"/>
          <w:szCs w:val="14"/>
          <w:lang w:val="pl-PL"/>
        </w:rPr>
      </w:pPr>
    </w:p>
    <w:p w14:paraId="0DF6F93E" w14:textId="5865DCE2" w:rsidR="00085903" w:rsidRPr="00233F42" w:rsidRDefault="008660FC" w:rsidP="00085903">
      <w:pPr>
        <w:pStyle w:val="Tre"/>
        <w:spacing w:line="276" w:lineRule="auto"/>
        <w:rPr>
          <w:rFonts w:ascii="Tahoma" w:eastAsia="Tahoma" w:hAnsi="Tahoma" w:cs="Tahoma"/>
          <w:color w:val="000000" w:themeColor="text1"/>
          <w:sz w:val="16"/>
          <w:szCs w:val="16"/>
          <w:lang w:val="pl-PL"/>
        </w:rPr>
      </w:pPr>
      <w:r w:rsidRPr="00010C3C">
        <w:rPr>
          <w:rStyle w:val="Brak"/>
          <w:rFonts w:ascii="Tahoma" w:hAnsi="Tahoma" w:cs="Tahoma"/>
          <w:color w:val="4F81BD"/>
          <w:kern w:val="16"/>
          <w:u w:color="4F81BD"/>
          <w:lang w:val="pl-PL"/>
        </w:rPr>
        <w:br/>
      </w:r>
      <w:r w:rsidR="00085903" w:rsidRPr="6C9B21DE">
        <w:rPr>
          <w:rFonts w:ascii="Tahoma" w:eastAsia="Tahoma" w:hAnsi="Tahoma" w:cs="Tahoma"/>
          <w:sz w:val="16"/>
          <w:szCs w:val="16"/>
          <w:lang w:val="pl-PL"/>
        </w:rPr>
        <w:t xml:space="preserve">Badanie </w:t>
      </w:r>
      <w:r w:rsidR="00085903" w:rsidRPr="6C9B21DE">
        <w:rPr>
          <w:rFonts w:ascii="Tahoma" w:eastAsia="Tahoma" w:hAnsi="Tahoma" w:cs="Tahoma"/>
          <w:color w:val="4F80BD"/>
          <w:sz w:val="16"/>
          <w:szCs w:val="16"/>
          <w:lang w:val="pl-PL"/>
        </w:rPr>
        <w:t>Plany Pracodawców</w:t>
      </w:r>
      <w:r w:rsidR="00085903" w:rsidRPr="6C9B21DE">
        <w:rPr>
          <w:rFonts w:ascii="Tahoma" w:eastAsia="Tahoma" w:hAnsi="Tahoma" w:cs="Tahoma"/>
          <w:sz w:val="16"/>
          <w:szCs w:val="16"/>
          <w:lang w:val="pl-PL"/>
        </w:rPr>
        <w:t xml:space="preserve"> to sondaż </w:t>
      </w:r>
      <w:r w:rsidR="00085903" w:rsidRPr="6C9B21DE">
        <w:rPr>
          <w:rFonts w:ascii="Tahoma" w:eastAsia="Tahoma" w:hAnsi="Tahoma" w:cs="Tahoma"/>
          <w:color w:val="4F80BD"/>
          <w:sz w:val="16"/>
          <w:szCs w:val="16"/>
          <w:lang w:val="pl-PL"/>
        </w:rPr>
        <w:t xml:space="preserve">Instytutu Badawczego </w:t>
      </w:r>
      <w:proofErr w:type="spellStart"/>
      <w:r w:rsidR="00085903" w:rsidRPr="6C9B21DE">
        <w:rPr>
          <w:rFonts w:ascii="Tahoma" w:eastAsia="Tahoma" w:hAnsi="Tahoma" w:cs="Tahoma"/>
          <w:color w:val="4F80BD"/>
          <w:sz w:val="16"/>
          <w:szCs w:val="16"/>
          <w:lang w:val="pl-PL"/>
        </w:rPr>
        <w:t>Randstad</w:t>
      </w:r>
      <w:proofErr w:type="spellEnd"/>
      <w:r w:rsidR="00085903" w:rsidRPr="6C9B21DE">
        <w:rPr>
          <w:rFonts w:ascii="Tahoma" w:eastAsia="Tahoma" w:hAnsi="Tahoma" w:cs="Tahoma"/>
          <w:sz w:val="16"/>
          <w:szCs w:val="16"/>
          <w:lang w:val="pl-PL"/>
        </w:rPr>
        <w:t>, realizowane od 2008 roku wśród osób odpowiedzialnych w firmie bezpośrednio za zarządzanie kadrami i rekrutację nowych pracowników. Wywiady do niniejszej edycji badania zostały przeprowadzone metodą CATI (indywidualne te</w:t>
      </w:r>
      <w:r w:rsidR="00085903">
        <w:rPr>
          <w:rFonts w:ascii="Tahoma" w:eastAsia="Tahoma" w:hAnsi="Tahoma" w:cs="Tahoma"/>
          <w:sz w:val="16"/>
          <w:szCs w:val="16"/>
          <w:lang w:val="pl-PL"/>
        </w:rPr>
        <w:t>lefoniczne wywiady kwestionariu</w:t>
      </w:r>
      <w:r w:rsidR="00085903" w:rsidRPr="6C9B21DE">
        <w:rPr>
          <w:rStyle w:val="Brak"/>
          <w:rFonts w:ascii="Tahoma" w:eastAsia="Tahoma" w:hAnsi="Tahoma" w:cs="Tahoma"/>
          <w:color w:val="000000" w:themeColor="text1"/>
          <w:sz w:val="16"/>
          <w:szCs w:val="16"/>
          <w:lang w:val="pl-PL"/>
        </w:rPr>
        <w:t xml:space="preserve">szowe wspomagane komputerowo) przez Instytut Badań </w:t>
      </w:r>
      <w:proofErr w:type="spellStart"/>
      <w:r w:rsidR="00085903" w:rsidRPr="6C9B21DE">
        <w:rPr>
          <w:rStyle w:val="Brak"/>
          <w:rFonts w:ascii="Tahoma" w:eastAsia="Tahoma" w:hAnsi="Tahoma" w:cs="Tahoma"/>
          <w:color w:val="000000" w:themeColor="text1"/>
          <w:sz w:val="16"/>
          <w:szCs w:val="16"/>
          <w:lang w:val="pl-PL"/>
        </w:rPr>
        <w:t>Pollster</w:t>
      </w:r>
      <w:proofErr w:type="spellEnd"/>
      <w:r w:rsidR="00085903" w:rsidRPr="6C9B21DE">
        <w:rPr>
          <w:rStyle w:val="Brak"/>
          <w:rFonts w:ascii="Tahoma" w:eastAsia="Tahoma" w:hAnsi="Tahoma" w:cs="Tahoma"/>
          <w:color w:val="000000" w:themeColor="text1"/>
          <w:sz w:val="16"/>
          <w:szCs w:val="16"/>
          <w:lang w:val="pl-PL"/>
        </w:rPr>
        <w:t xml:space="preserve"> w okresie od 10 do 28 października 2025.</w:t>
      </w:r>
      <w:r w:rsidR="00085903">
        <w:rPr>
          <w:rStyle w:val="Brak"/>
          <w:rFonts w:ascii="Tahoma" w:eastAsia="Tahoma" w:hAnsi="Tahoma" w:cs="Tahoma"/>
          <w:color w:val="000000" w:themeColor="text1"/>
          <w:sz w:val="16"/>
          <w:szCs w:val="16"/>
          <w:lang w:val="pl-PL"/>
        </w:rPr>
        <w:t xml:space="preserve"> </w:t>
      </w:r>
      <w:r w:rsidR="00085903" w:rsidRPr="6C9B21DE">
        <w:rPr>
          <w:rStyle w:val="Brak"/>
          <w:rFonts w:ascii="Tahoma" w:eastAsia="Tahoma" w:hAnsi="Tahoma" w:cs="Tahoma"/>
          <w:color w:val="000000" w:themeColor="text1"/>
          <w:sz w:val="16"/>
          <w:szCs w:val="16"/>
          <w:lang w:val="pl-PL"/>
        </w:rPr>
        <w:t>Wzięło w nich udział 1000 przedstawicieli firm. Próba jest reprezentatywna ze względu na branżę, region</w:t>
      </w:r>
    </w:p>
    <w:p w14:paraId="56C4697B" w14:textId="77777777" w:rsidR="00085903" w:rsidRPr="00233F42" w:rsidRDefault="00085903" w:rsidP="00085903">
      <w:pPr>
        <w:spacing w:line="276" w:lineRule="auto"/>
        <w:rPr>
          <w:rFonts w:ascii="Tahoma" w:eastAsia="Tahoma" w:hAnsi="Tahoma" w:cs="Tahoma"/>
          <w:color w:val="000000" w:themeColor="text1"/>
          <w:sz w:val="16"/>
          <w:szCs w:val="16"/>
          <w:lang w:val="pl-PL"/>
        </w:rPr>
      </w:pPr>
      <w:r w:rsidRPr="6C9B21DE">
        <w:rPr>
          <w:rStyle w:val="Brak"/>
          <w:rFonts w:ascii="Tahoma" w:eastAsia="Tahoma" w:hAnsi="Tahoma" w:cs="Tahoma"/>
          <w:color w:val="000000" w:themeColor="text1"/>
          <w:sz w:val="16"/>
          <w:szCs w:val="16"/>
          <w:lang w:val="pl-PL"/>
        </w:rPr>
        <w:t>i wielkość firmy (liczbę zatrudnionych osób). Wykluczono z niej firmy zatrudniające poniżej 10 osób, firmy</w:t>
      </w:r>
    </w:p>
    <w:p w14:paraId="480F8919" w14:textId="77777777" w:rsidR="00085903" w:rsidRPr="00233F42" w:rsidRDefault="00085903" w:rsidP="00085903">
      <w:pPr>
        <w:spacing w:line="276" w:lineRule="auto"/>
        <w:rPr>
          <w:rFonts w:ascii="Tahoma" w:eastAsia="Tahoma" w:hAnsi="Tahoma" w:cs="Tahoma"/>
          <w:color w:val="000000" w:themeColor="text1"/>
          <w:sz w:val="16"/>
          <w:szCs w:val="16"/>
          <w:lang w:val="pl-PL"/>
        </w:rPr>
      </w:pPr>
      <w:r w:rsidRPr="6C9B21DE">
        <w:rPr>
          <w:rStyle w:val="Brak"/>
          <w:rFonts w:ascii="Tahoma" w:eastAsia="Tahoma" w:hAnsi="Tahoma" w:cs="Tahoma"/>
          <w:color w:val="000000" w:themeColor="text1"/>
          <w:sz w:val="16"/>
          <w:szCs w:val="16"/>
          <w:lang w:val="pl-PL"/>
        </w:rPr>
        <w:t>doradztwa personalnego oraz firmy, firmy, dla których agencje pracy tymczasowej zazwyczaj nie świadczą</w:t>
      </w:r>
    </w:p>
    <w:p w14:paraId="7C76ABCC" w14:textId="27FFB0DA" w:rsidR="00085903" w:rsidRPr="00085903" w:rsidRDefault="00085903" w:rsidP="00085903">
      <w:pPr>
        <w:spacing w:line="276" w:lineRule="auto"/>
        <w:rPr>
          <w:rStyle w:val="Brak"/>
          <w:rFonts w:ascii="Tahoma" w:eastAsia="Tahoma" w:hAnsi="Tahoma" w:cs="Tahoma"/>
          <w:color w:val="000000" w:themeColor="text1"/>
          <w:sz w:val="16"/>
          <w:szCs w:val="16"/>
          <w:lang w:val="pl-PL"/>
        </w:rPr>
      </w:pPr>
      <w:r w:rsidRPr="6C9B21DE">
        <w:rPr>
          <w:rStyle w:val="Brak"/>
          <w:rFonts w:ascii="Tahoma" w:eastAsia="Tahoma" w:hAnsi="Tahoma" w:cs="Tahoma"/>
          <w:color w:val="000000" w:themeColor="text1"/>
          <w:sz w:val="16"/>
          <w:szCs w:val="16"/>
          <w:lang w:val="pl-PL"/>
        </w:rPr>
        <w:t>usług (np. rolnictwo, górnictwo). Maksymalny błąd statystyczny dla próby 1000 osób wynosi +/-3,1%.</w:t>
      </w:r>
    </w:p>
    <w:p w14:paraId="5DDE7D79" w14:textId="77777777" w:rsidR="00085903" w:rsidRDefault="00085903" w:rsidP="008D17D2">
      <w:pPr>
        <w:pStyle w:val="Tre"/>
        <w:spacing w:line="276" w:lineRule="auto"/>
        <w:rPr>
          <w:rStyle w:val="Brak"/>
          <w:rFonts w:ascii="Tahoma" w:eastAsia="Tahoma" w:hAnsi="Tahoma" w:cs="Tahoma"/>
          <w:color w:val="4F81BD"/>
          <w:sz w:val="16"/>
          <w:szCs w:val="16"/>
          <w:lang w:val="pl-PL"/>
        </w:rPr>
      </w:pPr>
    </w:p>
    <w:p w14:paraId="0CE50009" w14:textId="6FA9BDAD" w:rsidR="00F41FAD" w:rsidRPr="00F41FAD" w:rsidRDefault="00F41FAD" w:rsidP="008D17D2">
      <w:pPr>
        <w:pStyle w:val="Tre"/>
        <w:spacing w:line="276" w:lineRule="auto"/>
        <w:rPr>
          <w:rStyle w:val="Brak"/>
          <w:rFonts w:ascii="Tahoma" w:eastAsia="Tahoma" w:hAnsi="Tahoma" w:cs="Tahoma"/>
          <w:color w:val="000000" w:themeColor="text1"/>
          <w:sz w:val="16"/>
          <w:szCs w:val="16"/>
          <w:lang w:val="pl-PL"/>
        </w:rPr>
      </w:pPr>
      <w:proofErr w:type="spellStart"/>
      <w:r w:rsidRPr="00F41FAD">
        <w:rPr>
          <w:rStyle w:val="Brak"/>
          <w:rFonts w:ascii="Tahoma" w:eastAsia="Tahoma" w:hAnsi="Tahoma" w:cs="Tahoma"/>
          <w:color w:val="4F81BD"/>
          <w:sz w:val="16"/>
          <w:szCs w:val="16"/>
          <w:lang w:val="pl-PL"/>
        </w:rPr>
        <w:t>Randstad</w:t>
      </w:r>
      <w:proofErr w:type="spellEnd"/>
      <w:r w:rsidRPr="00F41FAD">
        <w:rPr>
          <w:rStyle w:val="Brak"/>
          <w:rFonts w:ascii="Tahoma" w:eastAsia="Tahoma" w:hAnsi="Tahoma" w:cs="Tahoma"/>
          <w:color w:val="4F81BD"/>
          <w:sz w:val="16"/>
          <w:szCs w:val="16"/>
          <w:lang w:val="pl-PL"/>
        </w:rPr>
        <w:t xml:space="preserve"> Polska </w:t>
      </w:r>
      <w:r w:rsidRPr="00F41FAD">
        <w:rPr>
          <w:rStyle w:val="Brak"/>
          <w:rFonts w:ascii="Tahoma" w:eastAsia="Tahoma" w:hAnsi="Tahoma" w:cs="Tahoma"/>
          <w:color w:val="000000" w:themeColor="text1"/>
          <w:sz w:val="16"/>
          <w:szCs w:val="16"/>
          <w:lang w:val="pl-PL"/>
        </w:rPr>
        <w:t xml:space="preserve">jest częścią </w:t>
      </w:r>
      <w:proofErr w:type="spellStart"/>
      <w:r w:rsidRPr="00F41FAD">
        <w:rPr>
          <w:rStyle w:val="Brak"/>
          <w:rFonts w:ascii="Tahoma" w:eastAsia="Tahoma" w:hAnsi="Tahoma" w:cs="Tahoma"/>
          <w:color w:val="000000" w:themeColor="text1"/>
          <w:sz w:val="16"/>
          <w:szCs w:val="16"/>
          <w:lang w:val="pl-PL"/>
        </w:rPr>
        <w:t>Randstad</w:t>
      </w:r>
      <w:proofErr w:type="spellEnd"/>
      <w:r w:rsidRPr="00F41FAD">
        <w:rPr>
          <w:rStyle w:val="Brak"/>
          <w:rFonts w:ascii="Tahoma" w:eastAsia="Tahoma" w:hAnsi="Tahoma" w:cs="Tahoma"/>
          <w:color w:val="000000" w:themeColor="text1"/>
          <w:sz w:val="16"/>
          <w:szCs w:val="16"/>
          <w:lang w:val="pl-PL"/>
        </w:rPr>
        <w:t xml:space="preserve"> N.V. – najbardziej wyspecjalizowanej firmy na świecie działającej na rzecz talentów, która dba o wyrównywanie szans. Działając w ramach czterech specjalizacji – </w:t>
      </w:r>
      <w:proofErr w:type="spellStart"/>
      <w:r w:rsidRPr="00F41FAD">
        <w:rPr>
          <w:rStyle w:val="Brak"/>
          <w:rFonts w:ascii="Tahoma" w:eastAsia="Tahoma" w:hAnsi="Tahoma" w:cs="Tahoma"/>
          <w:color w:val="000000" w:themeColor="text1"/>
          <w:sz w:val="16"/>
          <w:szCs w:val="16"/>
          <w:lang w:val="pl-PL"/>
        </w:rPr>
        <w:t>Operational</w:t>
      </w:r>
      <w:proofErr w:type="spellEnd"/>
      <w:r w:rsidRPr="00F41FAD">
        <w:rPr>
          <w:rStyle w:val="Brak"/>
          <w:rFonts w:ascii="Tahoma" w:eastAsia="Tahoma" w:hAnsi="Tahoma" w:cs="Tahoma"/>
          <w:color w:val="000000" w:themeColor="text1"/>
          <w:sz w:val="16"/>
          <w:szCs w:val="16"/>
          <w:lang w:val="pl-PL"/>
        </w:rPr>
        <w:t>, Professional, Digital i Enterprise – zapewniamy firmom wykwalifikowane, zróżnicowane i elastyczne zespoły, które wspierają ich w osiąganiu biznesowych sukcesów w świecie deficytu talentów. Poszukujących zatrudnienia wspieramy w zdobywaniu ważnych dla nich ról zawodowych, rozwoju właściwych kompetencji, odnajdywaniu celu i poczucia przynależności w miejscu pracy. Jesteśmy zaangażowani w budowanie lepszej i bardziej zrównoważonej przyszłości dla nas wszystkich.</w:t>
      </w:r>
      <w:r w:rsidRPr="00F41FAD">
        <w:rPr>
          <w:rStyle w:val="Brak"/>
          <w:rFonts w:ascii="Tahoma" w:eastAsia="Tahoma" w:hAnsi="Tahoma" w:cs="Tahoma"/>
          <w:color w:val="000000" w:themeColor="text1"/>
          <w:sz w:val="16"/>
          <w:szCs w:val="16"/>
          <w:lang w:val="pl-PL"/>
        </w:rPr>
        <w:br/>
      </w:r>
    </w:p>
    <w:p w14:paraId="1537810F" w14:textId="7D54D0A8" w:rsidR="00F41FAD" w:rsidRPr="00010C3C" w:rsidRDefault="00F41FAD" w:rsidP="00C60E86">
      <w:pPr>
        <w:spacing w:line="276" w:lineRule="auto"/>
        <w:rPr>
          <w:rStyle w:val="Brak"/>
          <w:rFonts w:ascii="Tahoma" w:hAnsi="Tahoma" w:cs="Tahoma"/>
          <w:color w:val="4F81BD"/>
          <w:kern w:val="16"/>
          <w:u w:color="4F81BD"/>
          <w:lang w:val="pl-PL"/>
        </w:rPr>
      </w:pPr>
      <w:r w:rsidRPr="00F41FAD">
        <w:rPr>
          <w:rStyle w:val="Brak"/>
          <w:rFonts w:ascii="Tahoma" w:eastAsia="Tahoma" w:hAnsi="Tahoma" w:cs="Tahoma"/>
          <w:color w:val="000000" w:themeColor="text1"/>
          <w:sz w:val="16"/>
          <w:szCs w:val="16"/>
          <w:lang w:val="pl-PL"/>
        </w:rPr>
        <w:t xml:space="preserve">W </w:t>
      </w:r>
      <w:proofErr w:type="spellStart"/>
      <w:r w:rsidRPr="00F41FAD">
        <w:rPr>
          <w:rStyle w:val="Brak"/>
          <w:rFonts w:ascii="Tahoma" w:eastAsia="Tahoma" w:hAnsi="Tahoma" w:cs="Tahoma"/>
          <w:color w:val="000000" w:themeColor="text1"/>
          <w:sz w:val="16"/>
          <w:szCs w:val="16"/>
          <w:lang w:val="pl-PL"/>
        </w:rPr>
        <w:t>Randstad</w:t>
      </w:r>
      <w:proofErr w:type="spellEnd"/>
      <w:r w:rsidRPr="00F41FAD">
        <w:rPr>
          <w:rStyle w:val="Brak"/>
          <w:rFonts w:ascii="Tahoma" w:eastAsia="Tahoma" w:hAnsi="Tahoma" w:cs="Tahoma"/>
          <w:color w:val="000000" w:themeColor="text1"/>
          <w:sz w:val="16"/>
          <w:szCs w:val="16"/>
          <w:lang w:val="pl-PL"/>
        </w:rPr>
        <w:t xml:space="preserve"> działamy globalnie – na 39 rynkach świata, ale także lokalnie, wspierając talenty i klientów w blisko 100 biurach w Polsce.</w:t>
      </w:r>
    </w:p>
    <w:p w14:paraId="59FB4DCF" w14:textId="77777777" w:rsidR="00EC6114" w:rsidRPr="00010C3C" w:rsidRDefault="00EC6114" w:rsidP="00C60E86">
      <w:pPr>
        <w:pStyle w:val="HeaderAddress"/>
        <w:spacing w:line="276" w:lineRule="auto"/>
        <w:rPr>
          <w:rStyle w:val="Brak"/>
          <w:kern w:val="16"/>
          <w:lang w:val="pl-PL"/>
        </w:rPr>
      </w:pPr>
    </w:p>
    <w:p w14:paraId="18E4E886" w14:textId="77777777" w:rsidR="00EC6114" w:rsidRPr="00010C3C" w:rsidRDefault="00EC6114" w:rsidP="00C60E86">
      <w:pPr>
        <w:pStyle w:val="HeaderAddress"/>
        <w:spacing w:line="276" w:lineRule="auto"/>
        <w:rPr>
          <w:lang w:val="pl-PL"/>
        </w:rPr>
      </w:pPr>
      <w:r w:rsidRPr="00010C3C">
        <w:rPr>
          <w:rStyle w:val="Brak"/>
          <w:kern w:val="16"/>
          <w:lang w:val="pl-PL"/>
        </w:rPr>
        <w:t xml:space="preserve">Więcej informacji o firmie: </w:t>
      </w:r>
      <w:hyperlink r:id="rId12" w:history="1">
        <w:r w:rsidRPr="00010C3C">
          <w:rPr>
            <w:rStyle w:val="Hyperlink1"/>
            <w:lang w:val="pl-PL"/>
          </w:rPr>
          <w:t>www.randstad.pl</w:t>
        </w:r>
      </w:hyperlink>
    </w:p>
    <w:p w14:paraId="1F43DC4D" w14:textId="23F1AA21" w:rsidR="005F07BC" w:rsidRPr="00010C3C" w:rsidRDefault="005F07BC" w:rsidP="00204078">
      <w:pPr>
        <w:pStyle w:val="HeaderAddress"/>
        <w:spacing w:line="276" w:lineRule="auto"/>
        <w:jc w:val="both"/>
        <w:rPr>
          <w:lang w:val="pl-PL"/>
        </w:rPr>
      </w:pPr>
    </w:p>
    <w:sectPr w:rsidR="005F07BC" w:rsidRPr="00010C3C" w:rsidSect="0035569F">
      <w:headerReference w:type="default" r:id="rId13"/>
      <w:footerReference w:type="default" r:id="rId14"/>
      <w:headerReference w:type="first" r:id="rId15"/>
      <w:footerReference w:type="first" r:id="rId16"/>
      <w:pgSz w:w="11900" w:h="16840"/>
      <w:pgMar w:top="426" w:right="991" w:bottom="1276" w:left="2552" w:header="709" w:footer="64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769ADF" w14:textId="77777777" w:rsidR="0095614A" w:rsidRDefault="0095614A">
      <w:r>
        <w:separator/>
      </w:r>
    </w:p>
  </w:endnote>
  <w:endnote w:type="continuationSeparator" w:id="0">
    <w:p w14:paraId="36BCB12B" w14:textId="77777777" w:rsidR="0095614A" w:rsidRDefault="00956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Bold">
    <w:altName w:val="Tahoma"/>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80841" w14:textId="77777777" w:rsidR="00976D85" w:rsidRDefault="00976D85">
    <w:pPr>
      <w:pStyle w:val="Stopka1"/>
      <w:tabs>
        <w:tab w:val="clear" w:pos="9072"/>
        <w:tab w:val="right" w:pos="8337"/>
      </w:tabs>
      <w:jc w:val="right"/>
    </w:pPr>
    <w:r>
      <w:rPr>
        <w:rStyle w:val="BrakB"/>
      </w:rPr>
      <w:t xml:space="preserve">Strona </w:t>
    </w:r>
    <w:r>
      <w:rPr>
        <w:rFonts w:ascii="Tahoma Bold" w:eastAsia="Tahoma Bold" w:hAnsi="Tahoma Bold" w:cs="Tahoma Bold"/>
      </w:rPr>
      <w:fldChar w:fldCharType="begin"/>
    </w:r>
    <w:r>
      <w:rPr>
        <w:rFonts w:ascii="Tahoma Bold" w:eastAsia="Tahoma Bold" w:hAnsi="Tahoma Bold" w:cs="Tahoma Bold"/>
      </w:rPr>
      <w:instrText xml:space="preserve"> PAGE </w:instrText>
    </w:r>
    <w:r>
      <w:rPr>
        <w:rFonts w:ascii="Tahoma Bold" w:eastAsia="Tahoma Bold" w:hAnsi="Tahoma Bold" w:cs="Tahoma Bold"/>
      </w:rPr>
      <w:fldChar w:fldCharType="separate"/>
    </w:r>
    <w:r w:rsidR="00414DD6">
      <w:rPr>
        <w:rFonts w:ascii="Tahoma Bold" w:eastAsia="Tahoma Bold" w:hAnsi="Tahoma Bold" w:cs="Tahoma Bold"/>
        <w:noProof/>
      </w:rPr>
      <w:t>4</w:t>
    </w:r>
    <w:r>
      <w:rPr>
        <w:rFonts w:ascii="Tahoma Bold" w:eastAsia="Tahoma Bold" w:hAnsi="Tahoma Bold" w:cs="Tahoma Bold"/>
      </w:rPr>
      <w:fldChar w:fldCharType="end"/>
    </w:r>
    <w:r>
      <w:rPr>
        <w:rStyle w:val="BrakB"/>
      </w:rPr>
      <w:t xml:space="preserve"> z </w:t>
    </w:r>
    <w:r>
      <w:rPr>
        <w:rFonts w:ascii="Tahoma Bold" w:eastAsia="Tahoma Bold" w:hAnsi="Tahoma Bold" w:cs="Tahoma Bold"/>
      </w:rPr>
      <w:fldChar w:fldCharType="begin"/>
    </w:r>
    <w:r>
      <w:rPr>
        <w:rFonts w:ascii="Tahoma Bold" w:eastAsia="Tahoma Bold" w:hAnsi="Tahoma Bold" w:cs="Tahoma Bold"/>
      </w:rPr>
      <w:instrText xml:space="preserve"> NUMPAGES </w:instrText>
    </w:r>
    <w:r>
      <w:rPr>
        <w:rFonts w:ascii="Tahoma Bold" w:eastAsia="Tahoma Bold" w:hAnsi="Tahoma Bold" w:cs="Tahoma Bold"/>
      </w:rPr>
      <w:fldChar w:fldCharType="separate"/>
    </w:r>
    <w:r w:rsidR="00414DD6">
      <w:rPr>
        <w:rFonts w:ascii="Tahoma Bold" w:eastAsia="Tahoma Bold" w:hAnsi="Tahoma Bold" w:cs="Tahoma Bold"/>
        <w:noProof/>
      </w:rPr>
      <w:t>4</w:t>
    </w:r>
    <w:r>
      <w:rPr>
        <w:rFonts w:ascii="Tahoma Bold" w:eastAsia="Tahoma Bold" w:hAnsi="Tahoma Bold" w:cs="Tahoma Bold"/>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71609" w14:textId="77777777" w:rsidR="00976D85" w:rsidRDefault="00976D85">
    <w:pPr>
      <w:pStyle w:val="Stopka1"/>
      <w:tabs>
        <w:tab w:val="clear" w:pos="9072"/>
        <w:tab w:val="right" w:pos="8337"/>
      </w:tabs>
      <w:jc w:val="right"/>
    </w:pPr>
    <w:r>
      <w:rPr>
        <w:rStyle w:val="BrakB"/>
      </w:rPr>
      <w:t xml:space="preserve">Strona </w:t>
    </w:r>
    <w:r>
      <w:rPr>
        <w:rFonts w:ascii="Tahoma Bold" w:eastAsia="Tahoma Bold" w:hAnsi="Tahoma Bold" w:cs="Tahoma Bold"/>
      </w:rPr>
      <w:fldChar w:fldCharType="begin"/>
    </w:r>
    <w:r>
      <w:rPr>
        <w:rFonts w:ascii="Tahoma Bold" w:eastAsia="Tahoma Bold" w:hAnsi="Tahoma Bold" w:cs="Tahoma Bold"/>
      </w:rPr>
      <w:instrText xml:space="preserve"> PAGE </w:instrText>
    </w:r>
    <w:r>
      <w:rPr>
        <w:rFonts w:ascii="Tahoma Bold" w:eastAsia="Tahoma Bold" w:hAnsi="Tahoma Bold" w:cs="Tahoma Bold"/>
      </w:rPr>
      <w:fldChar w:fldCharType="separate"/>
    </w:r>
    <w:r w:rsidR="00414DD6">
      <w:rPr>
        <w:rFonts w:ascii="Tahoma Bold" w:eastAsia="Tahoma Bold" w:hAnsi="Tahoma Bold" w:cs="Tahoma Bold"/>
        <w:noProof/>
      </w:rPr>
      <w:t>1</w:t>
    </w:r>
    <w:r>
      <w:rPr>
        <w:rFonts w:ascii="Tahoma Bold" w:eastAsia="Tahoma Bold" w:hAnsi="Tahoma Bold" w:cs="Tahoma Bold"/>
      </w:rPr>
      <w:fldChar w:fldCharType="end"/>
    </w:r>
    <w:r>
      <w:rPr>
        <w:rStyle w:val="BrakB"/>
      </w:rPr>
      <w:t xml:space="preserve"> z </w:t>
    </w:r>
    <w:r>
      <w:rPr>
        <w:rFonts w:ascii="Tahoma Bold" w:eastAsia="Tahoma Bold" w:hAnsi="Tahoma Bold" w:cs="Tahoma Bold"/>
      </w:rPr>
      <w:fldChar w:fldCharType="begin"/>
    </w:r>
    <w:r>
      <w:rPr>
        <w:rFonts w:ascii="Tahoma Bold" w:eastAsia="Tahoma Bold" w:hAnsi="Tahoma Bold" w:cs="Tahoma Bold"/>
      </w:rPr>
      <w:instrText xml:space="preserve"> NUMPAGES </w:instrText>
    </w:r>
    <w:r>
      <w:rPr>
        <w:rFonts w:ascii="Tahoma Bold" w:eastAsia="Tahoma Bold" w:hAnsi="Tahoma Bold" w:cs="Tahoma Bold"/>
      </w:rPr>
      <w:fldChar w:fldCharType="separate"/>
    </w:r>
    <w:r w:rsidR="00414DD6">
      <w:rPr>
        <w:rFonts w:ascii="Tahoma Bold" w:eastAsia="Tahoma Bold" w:hAnsi="Tahoma Bold" w:cs="Tahoma Bold"/>
        <w:noProof/>
      </w:rPr>
      <w:t>4</w:t>
    </w:r>
    <w:r>
      <w:rPr>
        <w:rFonts w:ascii="Tahoma Bold" w:eastAsia="Tahoma Bold" w:hAnsi="Tahoma Bold" w:cs="Tahoma Bol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22FA7" w14:textId="77777777" w:rsidR="0095614A" w:rsidRDefault="0095614A">
      <w:r>
        <w:separator/>
      </w:r>
    </w:p>
  </w:footnote>
  <w:footnote w:type="continuationSeparator" w:id="0">
    <w:p w14:paraId="03D6C9C2" w14:textId="77777777" w:rsidR="0095614A" w:rsidRDefault="009561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DDB92" w14:textId="77777777" w:rsidR="00976D85" w:rsidRDefault="00976D85">
    <w:pPr>
      <w:pStyle w:val="Nagwekistopka"/>
      <w:tabs>
        <w:tab w:val="clear" w:pos="9020"/>
        <w:tab w:val="right" w:pos="8337"/>
      </w:tabs>
    </w:pPr>
    <w:r>
      <w:rPr>
        <w:noProof/>
        <w:lang w:val="pl-PL" w:eastAsia="pl-PL"/>
      </w:rPr>
      <mc:AlternateContent>
        <mc:Choice Requires="wps">
          <w:drawing>
            <wp:anchor distT="152400" distB="152400" distL="152400" distR="152400" simplePos="0" relativeHeight="251656704" behindDoc="1" locked="0" layoutInCell="1" allowOverlap="1" wp14:anchorId="402A777A" wp14:editId="383647A8">
              <wp:simplePos x="0" y="0"/>
              <wp:positionH relativeFrom="page">
                <wp:posOffset>0</wp:posOffset>
              </wp:positionH>
              <wp:positionV relativeFrom="page">
                <wp:posOffset>0</wp:posOffset>
              </wp:positionV>
              <wp:extent cx="7556500" cy="106934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DD151D1">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type="solid" color="#FFFFFF" opacity="100.0%"/>
              <v:stroke on="f" weight="1.0pt" linestyle="single" miterlimit="400.0%" joinstyle="miter" endcap="flat" dashstyle="solid" startarrow="none" startarrowwidth="medium" startarrowlength="medium" endarrow="none" endarrowwidth="medium" endarrowlength="medium"/>
              <w10:wrap type="none" side="bothSides" anchorx="page" anchory="page"/>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AF7E5" w14:textId="77777777" w:rsidR="00976D85" w:rsidRDefault="00976D85">
    <w:pPr>
      <w:pStyle w:val="Nagwek1"/>
      <w:tabs>
        <w:tab w:val="clear" w:pos="9072"/>
        <w:tab w:val="right" w:pos="8337"/>
      </w:tabs>
    </w:pPr>
    <w:r>
      <w:rPr>
        <w:noProof/>
        <w:lang w:val="pl-PL" w:eastAsia="pl-PL"/>
      </w:rPr>
      <mc:AlternateContent>
        <mc:Choice Requires="wps">
          <w:drawing>
            <wp:anchor distT="152400" distB="152400" distL="152400" distR="152400" simplePos="0" relativeHeight="251657728" behindDoc="1" locked="0" layoutInCell="1" allowOverlap="1" wp14:anchorId="1567C4B0" wp14:editId="05D8673A">
              <wp:simplePos x="0" y="0"/>
              <wp:positionH relativeFrom="page">
                <wp:align>right</wp:align>
              </wp:positionH>
              <wp:positionV relativeFrom="page">
                <wp:align>top</wp:align>
              </wp:positionV>
              <wp:extent cx="7556500" cy="10693400"/>
              <wp:effectExtent l="0" t="0" r="6350" b="0"/>
              <wp:wrapNone/>
              <wp:docPr id="1073741826" name="officeArt object"/>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xmlns:a="http://schemas.openxmlformats.org/drawingml/2006/main" xmlns:pic="http://schemas.openxmlformats.org/drawingml/2006/picture"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0C329C9">
            <v:roundrect id="officeArt object" style="position:absolute;margin-left:543.8pt;margin-top:0;width:595pt;height:842pt;z-index:-251658752;visibility:visible;mso-wrap-style:square;mso-wrap-distance-left:12pt;mso-wrap-distance-top:12pt;mso-wrap-distance-right:12pt;mso-wrap-distance-bottom:12pt;mso-position-horizontal:right;mso-position-horizontal-relative:page;mso-position-vertical:top;mso-position-vertical-relative:page;v-text-anchor:top" o:spid="_x0000_s1026" stroked="f" strokeweight="1pt" arcsize="0" w14:anchorId="116448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48ygEAAH8DAAAOAAAAZHJzL2Uyb0RvYy54bWysU9tuGyEQfa/Uf0C817t2YjuxvI6qRu5L&#10;1UZN+wGYi5cIGDQQr/33HfDG6eUtKg8sA8zhnDOz67ujd+ygMVkIHZ9OWs50kKBs2Hf854/thxvO&#10;UhZBCQdBd/ykE7/bvH+3HuJKz6AHpzQyAglpNcSO9znHVdMk2Wsv0gSiDnRoAL3IFOK+USgGQveu&#10;mbXtohkAVUSQOiXavT8f8k3FN0bL/M2YpDNzHSduuc5Y512Zm81arPYoYm/lSEO8gYUXNtCjF6h7&#10;kQV7RvsPlLcSIYHJEwm+AWOs1FUDqZm2f6l57EXUVQuZk+LFpvT/YOXXwwMyq6h27fJqeT29mS04&#10;C8JTrc7sPmJmsHsiJ4tZQ0wrynmMDzhGiZZF+dGgL1/KYsdq8OlisD5mJmlzOZ8v5i3VQdLZtF3c&#10;Xl1TREDNa37ElD9r8KwsOo7wHNT38noBF4cvKVef1UhSqCfOjHdUtYNw7AVtvEi4L3glK4Gzamud&#10;qwHud58cMkrr+LaOkcof11xgA5GdLStvQT1qnDizCVCwagt5m6mPnfUdJ0k0RigXylO6diJRL1KL&#10;hWfTymoH6lS9rPtU5WrG2JGljX6Pa/brf7P5BQAA//8DAFBLAwQUAAYACAAAACEARNtQedwAAAAH&#10;AQAADwAAAGRycy9kb3ducmV2LnhtbEyPMU/DMBCFdyT+g3VIbNQuKpUJcSqoxNABIUIHxmvsJinx&#10;OYrdJvx7rix0Od3TO737Xr6afCdObohtIAPzmQLhqAq2pdrA9vP1ToOICcliF8gZ+HERVsX1VY6Z&#10;DSN9uFOZasEhFDM00KTUZ1LGqnEe4yz0jtjbh8FjYjnU0g44crjv5L1SS+mxJf7QYO/Wjau+y6M3&#10;8Pa12Ly8680DjQert7pdVziWxtzeTM9PIJKb0v8xnPEZHQpm2oUj2Sg6A1wk/c2zN39UrHe8LfVC&#10;gSxyeclf/AIAAP//AwBQSwECLQAUAAYACAAAACEAtoM4kv4AAADhAQAAEwAAAAAAAAAAAAAAAAAA&#10;AAAAW0NvbnRlbnRfVHlwZXNdLnhtbFBLAQItABQABgAIAAAAIQA4/SH/1gAAAJQBAAALAAAAAAAA&#10;AAAAAAAAAC8BAABfcmVscy8ucmVsc1BLAQItABQABgAIAAAAIQBQqJ48ygEAAH8DAAAOAAAAAAAA&#10;AAAAAAAAAC4CAABkcnMvZTJvRG9jLnhtbFBLAQItABQABgAIAAAAIQBE21B53AAAAAcBAAAPAAAA&#10;AAAAAAAAAAAAACQEAABkcnMvZG93bnJldi54bWxQSwUGAAAAAAQABADzAAAALQUAAAAA&#10;">
              <v:stroke miterlimit="4" joinstyle="miter"/>
              <w10:wrap anchorx="page" anchory="page"/>
            </v:roundrect>
          </w:pict>
        </mc:Fallback>
      </mc:AlternateContent>
    </w:r>
    <w:r>
      <w:rPr>
        <w:noProof/>
        <w:lang w:val="pl-PL" w:eastAsia="pl-PL"/>
      </w:rPr>
      <w:drawing>
        <wp:anchor distT="152400" distB="152400" distL="152400" distR="152400" simplePos="0" relativeHeight="251658752" behindDoc="1" locked="0" layoutInCell="1" allowOverlap="1" wp14:anchorId="6A422B34" wp14:editId="07806946">
          <wp:simplePos x="0" y="0"/>
          <wp:positionH relativeFrom="page">
            <wp:posOffset>4511675</wp:posOffset>
          </wp:positionH>
          <wp:positionV relativeFrom="page">
            <wp:posOffset>383540</wp:posOffset>
          </wp:positionV>
          <wp:extent cx="2781300" cy="695325"/>
          <wp:effectExtent l="0" t="0" r="0" b="0"/>
          <wp:wrapNone/>
          <wp:docPr id="9" name="officeArt object" descr="Randstad logo_main_large.png"/>
          <wp:cNvGraphicFramePr/>
          <a:graphic xmlns:a="http://schemas.openxmlformats.org/drawingml/2006/main">
            <a:graphicData uri="http://schemas.openxmlformats.org/drawingml/2006/picture">
              <pic:pic xmlns:pic="http://schemas.openxmlformats.org/drawingml/2006/picture">
                <pic:nvPicPr>
                  <pic:cNvPr id="1073741827" name="Randstad logo_main_large.png" descr="Randstad logo_main_large.png"/>
                  <pic:cNvPicPr>
                    <a:picLocks noChangeAspect="1"/>
                  </pic:cNvPicPr>
                </pic:nvPicPr>
                <pic:blipFill>
                  <a:blip r:embed="rId1"/>
                  <a:stretch>
                    <a:fillRect/>
                  </a:stretch>
                </pic:blipFill>
                <pic:spPr>
                  <a:xfrm>
                    <a:off x="0" y="0"/>
                    <a:ext cx="2781300" cy="6953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6353A"/>
    <w:multiLevelType w:val="hybridMultilevel"/>
    <w:tmpl w:val="EDAC9BE8"/>
    <w:lvl w:ilvl="0" w:tplc="02C46736">
      <w:numFmt w:val="bullet"/>
      <w:lvlText w:val="•"/>
      <w:lvlJc w:val="left"/>
      <w:pPr>
        <w:ind w:left="1065" w:hanging="705"/>
      </w:pPr>
      <w:rPr>
        <w:rFonts w:ascii="Tahoma" w:eastAsia="Tahoma" w:hAnsi="Tahom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8E0736B"/>
    <w:multiLevelType w:val="hybridMultilevel"/>
    <w:tmpl w:val="47087C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7BC"/>
    <w:rsid w:val="00003FE1"/>
    <w:rsid w:val="00010C3C"/>
    <w:rsid w:val="000134D6"/>
    <w:rsid w:val="00022875"/>
    <w:rsid w:val="00025C96"/>
    <w:rsid w:val="000268DF"/>
    <w:rsid w:val="00031078"/>
    <w:rsid w:val="00043630"/>
    <w:rsid w:val="00065E9A"/>
    <w:rsid w:val="00080E4A"/>
    <w:rsid w:val="00085903"/>
    <w:rsid w:val="000A0366"/>
    <w:rsid w:val="000C51CB"/>
    <w:rsid w:val="000D2386"/>
    <w:rsid w:val="00121A37"/>
    <w:rsid w:val="001304D7"/>
    <w:rsid w:val="0013077C"/>
    <w:rsid w:val="00130B47"/>
    <w:rsid w:val="0013373E"/>
    <w:rsid w:val="00142FAE"/>
    <w:rsid w:val="00146816"/>
    <w:rsid w:val="00147CD0"/>
    <w:rsid w:val="0016511E"/>
    <w:rsid w:val="001659BF"/>
    <w:rsid w:val="00175342"/>
    <w:rsid w:val="00177702"/>
    <w:rsid w:val="00177D80"/>
    <w:rsid w:val="00180B5F"/>
    <w:rsid w:val="001846AC"/>
    <w:rsid w:val="00186E9C"/>
    <w:rsid w:val="001A5D37"/>
    <w:rsid w:val="001A7186"/>
    <w:rsid w:val="001C36C1"/>
    <w:rsid w:val="001D0594"/>
    <w:rsid w:val="001D64D3"/>
    <w:rsid w:val="001E4587"/>
    <w:rsid w:val="001E4F6E"/>
    <w:rsid w:val="001F04D6"/>
    <w:rsid w:val="001F35B2"/>
    <w:rsid w:val="001F7DEE"/>
    <w:rsid w:val="00204078"/>
    <w:rsid w:val="0021104B"/>
    <w:rsid w:val="00214F06"/>
    <w:rsid w:val="00215D40"/>
    <w:rsid w:val="00224D71"/>
    <w:rsid w:val="00224EB3"/>
    <w:rsid w:val="00226FCF"/>
    <w:rsid w:val="002331E8"/>
    <w:rsid w:val="00234766"/>
    <w:rsid w:val="00240296"/>
    <w:rsid w:val="00246395"/>
    <w:rsid w:val="0025451F"/>
    <w:rsid w:val="00264333"/>
    <w:rsid w:val="00265F1C"/>
    <w:rsid w:val="002A4EA1"/>
    <w:rsid w:val="002A56EE"/>
    <w:rsid w:val="002B0F9D"/>
    <w:rsid w:val="002B483D"/>
    <w:rsid w:val="002C0215"/>
    <w:rsid w:val="002C6514"/>
    <w:rsid w:val="002C6A66"/>
    <w:rsid w:val="002D240D"/>
    <w:rsid w:val="002D5430"/>
    <w:rsid w:val="002D7F8F"/>
    <w:rsid w:val="002E46DB"/>
    <w:rsid w:val="002F43FF"/>
    <w:rsid w:val="00303853"/>
    <w:rsid w:val="003070A3"/>
    <w:rsid w:val="00310AFE"/>
    <w:rsid w:val="00317ECB"/>
    <w:rsid w:val="003242A2"/>
    <w:rsid w:val="003337FE"/>
    <w:rsid w:val="003510DC"/>
    <w:rsid w:val="00351125"/>
    <w:rsid w:val="00353299"/>
    <w:rsid w:val="0035569F"/>
    <w:rsid w:val="0035635D"/>
    <w:rsid w:val="00360301"/>
    <w:rsid w:val="00365DE3"/>
    <w:rsid w:val="00370906"/>
    <w:rsid w:val="003742E1"/>
    <w:rsid w:val="00375D6F"/>
    <w:rsid w:val="0037644F"/>
    <w:rsid w:val="00381B08"/>
    <w:rsid w:val="003840BF"/>
    <w:rsid w:val="0038454C"/>
    <w:rsid w:val="003A7E5E"/>
    <w:rsid w:val="003B0A28"/>
    <w:rsid w:val="003B6924"/>
    <w:rsid w:val="003C0914"/>
    <w:rsid w:val="003D0BB8"/>
    <w:rsid w:val="003D0C5C"/>
    <w:rsid w:val="003D3AF4"/>
    <w:rsid w:val="003F0255"/>
    <w:rsid w:val="003F5152"/>
    <w:rsid w:val="003F6134"/>
    <w:rsid w:val="00404678"/>
    <w:rsid w:val="00414DD6"/>
    <w:rsid w:val="004158BC"/>
    <w:rsid w:val="00416F9A"/>
    <w:rsid w:val="0042001B"/>
    <w:rsid w:val="0043115F"/>
    <w:rsid w:val="00432660"/>
    <w:rsid w:val="00433D10"/>
    <w:rsid w:val="0045606A"/>
    <w:rsid w:val="0046172B"/>
    <w:rsid w:val="00463852"/>
    <w:rsid w:val="004748DE"/>
    <w:rsid w:val="0048147D"/>
    <w:rsid w:val="00487C9A"/>
    <w:rsid w:val="004B544D"/>
    <w:rsid w:val="004D1AAA"/>
    <w:rsid w:val="004D794C"/>
    <w:rsid w:val="004E24EE"/>
    <w:rsid w:val="004E32F0"/>
    <w:rsid w:val="004F3B0C"/>
    <w:rsid w:val="004F6E10"/>
    <w:rsid w:val="005019D4"/>
    <w:rsid w:val="005062BC"/>
    <w:rsid w:val="00514063"/>
    <w:rsid w:val="00520BBB"/>
    <w:rsid w:val="005276CD"/>
    <w:rsid w:val="00547E5E"/>
    <w:rsid w:val="00577735"/>
    <w:rsid w:val="0058205A"/>
    <w:rsid w:val="00584612"/>
    <w:rsid w:val="005859C5"/>
    <w:rsid w:val="00597CEE"/>
    <w:rsid w:val="005A7FE7"/>
    <w:rsid w:val="005B1C23"/>
    <w:rsid w:val="005C06ED"/>
    <w:rsid w:val="005C0B78"/>
    <w:rsid w:val="005D54B6"/>
    <w:rsid w:val="005E6669"/>
    <w:rsid w:val="005E7F1A"/>
    <w:rsid w:val="005F07BC"/>
    <w:rsid w:val="005F3239"/>
    <w:rsid w:val="005F39B8"/>
    <w:rsid w:val="005F5D54"/>
    <w:rsid w:val="00605543"/>
    <w:rsid w:val="00610B7D"/>
    <w:rsid w:val="0061581B"/>
    <w:rsid w:val="00621FAD"/>
    <w:rsid w:val="006241DF"/>
    <w:rsid w:val="00631479"/>
    <w:rsid w:val="006320D8"/>
    <w:rsid w:val="0063370F"/>
    <w:rsid w:val="006579BA"/>
    <w:rsid w:val="0066467A"/>
    <w:rsid w:val="00675B90"/>
    <w:rsid w:val="006802EC"/>
    <w:rsid w:val="00693603"/>
    <w:rsid w:val="00697EEB"/>
    <w:rsid w:val="006B6A7C"/>
    <w:rsid w:val="006D3618"/>
    <w:rsid w:val="006F4B4E"/>
    <w:rsid w:val="006F590D"/>
    <w:rsid w:val="00700FEB"/>
    <w:rsid w:val="00707155"/>
    <w:rsid w:val="0070760B"/>
    <w:rsid w:val="00707825"/>
    <w:rsid w:val="00721CCD"/>
    <w:rsid w:val="00723A36"/>
    <w:rsid w:val="00723D42"/>
    <w:rsid w:val="00736DA3"/>
    <w:rsid w:val="007542C0"/>
    <w:rsid w:val="00763AC6"/>
    <w:rsid w:val="00764CC4"/>
    <w:rsid w:val="0076701C"/>
    <w:rsid w:val="0077048E"/>
    <w:rsid w:val="0077209F"/>
    <w:rsid w:val="0077234A"/>
    <w:rsid w:val="00773998"/>
    <w:rsid w:val="0078311F"/>
    <w:rsid w:val="0078545A"/>
    <w:rsid w:val="00790E02"/>
    <w:rsid w:val="00797C9E"/>
    <w:rsid w:val="007A2C0F"/>
    <w:rsid w:val="007A6606"/>
    <w:rsid w:val="007B0168"/>
    <w:rsid w:val="007B11D0"/>
    <w:rsid w:val="007B5969"/>
    <w:rsid w:val="007B636C"/>
    <w:rsid w:val="007C5CE4"/>
    <w:rsid w:val="007C6562"/>
    <w:rsid w:val="007E2DBF"/>
    <w:rsid w:val="007E321F"/>
    <w:rsid w:val="007F0169"/>
    <w:rsid w:val="007F0276"/>
    <w:rsid w:val="00803A88"/>
    <w:rsid w:val="008045F5"/>
    <w:rsid w:val="0081086C"/>
    <w:rsid w:val="00813DE5"/>
    <w:rsid w:val="008236A9"/>
    <w:rsid w:val="00824D78"/>
    <w:rsid w:val="00836116"/>
    <w:rsid w:val="00853636"/>
    <w:rsid w:val="00860003"/>
    <w:rsid w:val="00864817"/>
    <w:rsid w:val="008660FC"/>
    <w:rsid w:val="00870BD0"/>
    <w:rsid w:val="00893AE8"/>
    <w:rsid w:val="008A192E"/>
    <w:rsid w:val="008A2A9C"/>
    <w:rsid w:val="008A2B8B"/>
    <w:rsid w:val="008C7897"/>
    <w:rsid w:val="008D0974"/>
    <w:rsid w:val="008D17D2"/>
    <w:rsid w:val="008E2C56"/>
    <w:rsid w:val="008F1184"/>
    <w:rsid w:val="008F46B0"/>
    <w:rsid w:val="008F61BE"/>
    <w:rsid w:val="009219AA"/>
    <w:rsid w:val="00922553"/>
    <w:rsid w:val="00925B4D"/>
    <w:rsid w:val="009304B8"/>
    <w:rsid w:val="009340B6"/>
    <w:rsid w:val="00935D82"/>
    <w:rsid w:val="0093775D"/>
    <w:rsid w:val="009446B1"/>
    <w:rsid w:val="00952F8E"/>
    <w:rsid w:val="0095614A"/>
    <w:rsid w:val="00962484"/>
    <w:rsid w:val="00975A4A"/>
    <w:rsid w:val="00976D85"/>
    <w:rsid w:val="00983185"/>
    <w:rsid w:val="0099683F"/>
    <w:rsid w:val="009B0B08"/>
    <w:rsid w:val="009B33CD"/>
    <w:rsid w:val="009C4F7D"/>
    <w:rsid w:val="009C6A6E"/>
    <w:rsid w:val="009F4350"/>
    <w:rsid w:val="009F5AEE"/>
    <w:rsid w:val="00A155BA"/>
    <w:rsid w:val="00A16205"/>
    <w:rsid w:val="00A21348"/>
    <w:rsid w:val="00A2303D"/>
    <w:rsid w:val="00A2577A"/>
    <w:rsid w:val="00A35425"/>
    <w:rsid w:val="00A36044"/>
    <w:rsid w:val="00A633EF"/>
    <w:rsid w:val="00A66A6F"/>
    <w:rsid w:val="00A87157"/>
    <w:rsid w:val="00A955C1"/>
    <w:rsid w:val="00A96764"/>
    <w:rsid w:val="00A96AAD"/>
    <w:rsid w:val="00A97AA3"/>
    <w:rsid w:val="00A97EF0"/>
    <w:rsid w:val="00AB05F3"/>
    <w:rsid w:val="00AB3B20"/>
    <w:rsid w:val="00AD0572"/>
    <w:rsid w:val="00AF4FBF"/>
    <w:rsid w:val="00AF5B08"/>
    <w:rsid w:val="00B0099F"/>
    <w:rsid w:val="00B00CE0"/>
    <w:rsid w:val="00B15410"/>
    <w:rsid w:val="00B37168"/>
    <w:rsid w:val="00B43495"/>
    <w:rsid w:val="00B51A74"/>
    <w:rsid w:val="00B63B65"/>
    <w:rsid w:val="00B6615D"/>
    <w:rsid w:val="00B7417F"/>
    <w:rsid w:val="00B800AA"/>
    <w:rsid w:val="00B83123"/>
    <w:rsid w:val="00B84D73"/>
    <w:rsid w:val="00B95AAA"/>
    <w:rsid w:val="00BA0DA7"/>
    <w:rsid w:val="00BA7147"/>
    <w:rsid w:val="00BC4927"/>
    <w:rsid w:val="00BD4E30"/>
    <w:rsid w:val="00BF2FB8"/>
    <w:rsid w:val="00BF543E"/>
    <w:rsid w:val="00C05314"/>
    <w:rsid w:val="00C14045"/>
    <w:rsid w:val="00C26E31"/>
    <w:rsid w:val="00C27EAD"/>
    <w:rsid w:val="00C313B6"/>
    <w:rsid w:val="00C410C3"/>
    <w:rsid w:val="00C44FA1"/>
    <w:rsid w:val="00C46260"/>
    <w:rsid w:val="00C54DCB"/>
    <w:rsid w:val="00C60E86"/>
    <w:rsid w:val="00C665E3"/>
    <w:rsid w:val="00C71F40"/>
    <w:rsid w:val="00C73E88"/>
    <w:rsid w:val="00C75950"/>
    <w:rsid w:val="00C868C8"/>
    <w:rsid w:val="00C921DD"/>
    <w:rsid w:val="00C9419D"/>
    <w:rsid w:val="00CB0713"/>
    <w:rsid w:val="00CB5CE7"/>
    <w:rsid w:val="00CC5255"/>
    <w:rsid w:val="00CC6F38"/>
    <w:rsid w:val="00CD7F3F"/>
    <w:rsid w:val="00CE1AB4"/>
    <w:rsid w:val="00CE2471"/>
    <w:rsid w:val="00CF21DC"/>
    <w:rsid w:val="00CF4154"/>
    <w:rsid w:val="00CF4426"/>
    <w:rsid w:val="00D02AA5"/>
    <w:rsid w:val="00D277F5"/>
    <w:rsid w:val="00D42F73"/>
    <w:rsid w:val="00D46108"/>
    <w:rsid w:val="00D47C99"/>
    <w:rsid w:val="00D5076F"/>
    <w:rsid w:val="00D50ABE"/>
    <w:rsid w:val="00D51025"/>
    <w:rsid w:val="00D67E4E"/>
    <w:rsid w:val="00D72017"/>
    <w:rsid w:val="00D81560"/>
    <w:rsid w:val="00D83C2B"/>
    <w:rsid w:val="00D85F1F"/>
    <w:rsid w:val="00D927FA"/>
    <w:rsid w:val="00D9735B"/>
    <w:rsid w:val="00DB463B"/>
    <w:rsid w:val="00DB7733"/>
    <w:rsid w:val="00DB7BD8"/>
    <w:rsid w:val="00DD3BDD"/>
    <w:rsid w:val="00DD5993"/>
    <w:rsid w:val="00DD5B6D"/>
    <w:rsid w:val="00DE2530"/>
    <w:rsid w:val="00DE3A66"/>
    <w:rsid w:val="00DF38BC"/>
    <w:rsid w:val="00E01A19"/>
    <w:rsid w:val="00E151AE"/>
    <w:rsid w:val="00E15FAC"/>
    <w:rsid w:val="00E27618"/>
    <w:rsid w:val="00E33574"/>
    <w:rsid w:val="00E50324"/>
    <w:rsid w:val="00E5504D"/>
    <w:rsid w:val="00E677E3"/>
    <w:rsid w:val="00E71E6E"/>
    <w:rsid w:val="00E7548A"/>
    <w:rsid w:val="00E76F55"/>
    <w:rsid w:val="00E837A2"/>
    <w:rsid w:val="00E870CF"/>
    <w:rsid w:val="00E90F83"/>
    <w:rsid w:val="00E94A77"/>
    <w:rsid w:val="00E9531B"/>
    <w:rsid w:val="00E977BB"/>
    <w:rsid w:val="00EAB523"/>
    <w:rsid w:val="00EB1C51"/>
    <w:rsid w:val="00EB79D5"/>
    <w:rsid w:val="00EC6114"/>
    <w:rsid w:val="00EC6A2F"/>
    <w:rsid w:val="00ED5A4B"/>
    <w:rsid w:val="00EE68C6"/>
    <w:rsid w:val="00EE7EFD"/>
    <w:rsid w:val="00EF0263"/>
    <w:rsid w:val="00EF149E"/>
    <w:rsid w:val="00EF2FFC"/>
    <w:rsid w:val="00F0219E"/>
    <w:rsid w:val="00F12DF5"/>
    <w:rsid w:val="00F17AFA"/>
    <w:rsid w:val="00F2106B"/>
    <w:rsid w:val="00F35750"/>
    <w:rsid w:val="00F37268"/>
    <w:rsid w:val="00F40DA2"/>
    <w:rsid w:val="00F41FAD"/>
    <w:rsid w:val="00F50789"/>
    <w:rsid w:val="00F53A39"/>
    <w:rsid w:val="00F54AE7"/>
    <w:rsid w:val="00F56CC3"/>
    <w:rsid w:val="00F65F0E"/>
    <w:rsid w:val="00F73F67"/>
    <w:rsid w:val="00F77432"/>
    <w:rsid w:val="00F834A0"/>
    <w:rsid w:val="00F90D20"/>
    <w:rsid w:val="00F92048"/>
    <w:rsid w:val="00FA0B1E"/>
    <w:rsid w:val="00FA776B"/>
    <w:rsid w:val="00FB0AF1"/>
    <w:rsid w:val="00FB1457"/>
    <w:rsid w:val="00FB33E2"/>
    <w:rsid w:val="00FB3CE1"/>
    <w:rsid w:val="00FB412C"/>
    <w:rsid w:val="00FC6530"/>
    <w:rsid w:val="00FF0272"/>
    <w:rsid w:val="01206AC2"/>
    <w:rsid w:val="01F0C202"/>
    <w:rsid w:val="025A8865"/>
    <w:rsid w:val="02A96B26"/>
    <w:rsid w:val="02BAFD1D"/>
    <w:rsid w:val="02CDF4C6"/>
    <w:rsid w:val="02E8C71A"/>
    <w:rsid w:val="02F55C5F"/>
    <w:rsid w:val="03A64E02"/>
    <w:rsid w:val="03E71DEF"/>
    <w:rsid w:val="046E0064"/>
    <w:rsid w:val="04FEF5E3"/>
    <w:rsid w:val="054D0720"/>
    <w:rsid w:val="0619BD81"/>
    <w:rsid w:val="067EB264"/>
    <w:rsid w:val="07AF878A"/>
    <w:rsid w:val="07DAE3AC"/>
    <w:rsid w:val="0884AD26"/>
    <w:rsid w:val="0A0A0D01"/>
    <w:rsid w:val="0B248BCE"/>
    <w:rsid w:val="0B9609BB"/>
    <w:rsid w:val="0BBD9EE3"/>
    <w:rsid w:val="0BE4F05E"/>
    <w:rsid w:val="0C61F999"/>
    <w:rsid w:val="0D4D3A59"/>
    <w:rsid w:val="0D56E588"/>
    <w:rsid w:val="0D665341"/>
    <w:rsid w:val="0E8821EB"/>
    <w:rsid w:val="0F3C6819"/>
    <w:rsid w:val="0FA5CD3F"/>
    <w:rsid w:val="0FC211FD"/>
    <w:rsid w:val="103337EE"/>
    <w:rsid w:val="10743081"/>
    <w:rsid w:val="10EC101B"/>
    <w:rsid w:val="113C93DD"/>
    <w:rsid w:val="116291FF"/>
    <w:rsid w:val="11AC14E9"/>
    <w:rsid w:val="11D9BDC2"/>
    <w:rsid w:val="121AC447"/>
    <w:rsid w:val="12956F0F"/>
    <w:rsid w:val="12D022B9"/>
    <w:rsid w:val="12D25031"/>
    <w:rsid w:val="137D72E1"/>
    <w:rsid w:val="13EBA531"/>
    <w:rsid w:val="14A3A04F"/>
    <w:rsid w:val="15729CC8"/>
    <w:rsid w:val="1579338D"/>
    <w:rsid w:val="15C4D46E"/>
    <w:rsid w:val="161F87A4"/>
    <w:rsid w:val="16432701"/>
    <w:rsid w:val="17827B49"/>
    <w:rsid w:val="179A0683"/>
    <w:rsid w:val="180E598F"/>
    <w:rsid w:val="18FBB460"/>
    <w:rsid w:val="1942BF63"/>
    <w:rsid w:val="194F36A3"/>
    <w:rsid w:val="19CCFA9F"/>
    <w:rsid w:val="19F07958"/>
    <w:rsid w:val="1A35CD7A"/>
    <w:rsid w:val="1A701BC4"/>
    <w:rsid w:val="1A93F9FA"/>
    <w:rsid w:val="1ABEF259"/>
    <w:rsid w:val="1AC1E687"/>
    <w:rsid w:val="1AC98BE6"/>
    <w:rsid w:val="1B96B4A1"/>
    <w:rsid w:val="1BB0F7D0"/>
    <w:rsid w:val="1C2ACF3F"/>
    <w:rsid w:val="1C3EFD22"/>
    <w:rsid w:val="1C693BD9"/>
    <w:rsid w:val="1CE065D4"/>
    <w:rsid w:val="1CEAC326"/>
    <w:rsid w:val="1D6426CF"/>
    <w:rsid w:val="1D80C1AF"/>
    <w:rsid w:val="1DDD846F"/>
    <w:rsid w:val="1EA7BD45"/>
    <w:rsid w:val="1EF8F7D5"/>
    <w:rsid w:val="1FDFCCB0"/>
    <w:rsid w:val="204E430F"/>
    <w:rsid w:val="208732DE"/>
    <w:rsid w:val="2151345B"/>
    <w:rsid w:val="2257B98D"/>
    <w:rsid w:val="22B0E497"/>
    <w:rsid w:val="22D7506F"/>
    <w:rsid w:val="230FC05C"/>
    <w:rsid w:val="232530DC"/>
    <w:rsid w:val="2337EDB5"/>
    <w:rsid w:val="234B3623"/>
    <w:rsid w:val="23744EE7"/>
    <w:rsid w:val="238D3490"/>
    <w:rsid w:val="23CD60FC"/>
    <w:rsid w:val="240050F9"/>
    <w:rsid w:val="24581EDB"/>
    <w:rsid w:val="257A754D"/>
    <w:rsid w:val="257FF7C8"/>
    <w:rsid w:val="277262C4"/>
    <w:rsid w:val="27DE4D39"/>
    <w:rsid w:val="28901A03"/>
    <w:rsid w:val="28B8C42E"/>
    <w:rsid w:val="29819BFA"/>
    <w:rsid w:val="29F61194"/>
    <w:rsid w:val="2A18C4D7"/>
    <w:rsid w:val="2A2FC801"/>
    <w:rsid w:val="2ADC08CD"/>
    <w:rsid w:val="2AEB1850"/>
    <w:rsid w:val="2B43C294"/>
    <w:rsid w:val="2C729ECB"/>
    <w:rsid w:val="2CD86E19"/>
    <w:rsid w:val="2D6AFF4E"/>
    <w:rsid w:val="2DA10A2D"/>
    <w:rsid w:val="2DA1B7D7"/>
    <w:rsid w:val="2DE2B6B0"/>
    <w:rsid w:val="2DF45A0B"/>
    <w:rsid w:val="2E987ADC"/>
    <w:rsid w:val="2EB95B30"/>
    <w:rsid w:val="2F12C87C"/>
    <w:rsid w:val="2F3B519C"/>
    <w:rsid w:val="2FC9A3C5"/>
    <w:rsid w:val="2FFCC78C"/>
    <w:rsid w:val="31659B8A"/>
    <w:rsid w:val="324E2A16"/>
    <w:rsid w:val="325DD561"/>
    <w:rsid w:val="32EC75E0"/>
    <w:rsid w:val="33257295"/>
    <w:rsid w:val="3342FC76"/>
    <w:rsid w:val="335C9A50"/>
    <w:rsid w:val="342D0954"/>
    <w:rsid w:val="343926C3"/>
    <w:rsid w:val="34417AE0"/>
    <w:rsid w:val="3447F93F"/>
    <w:rsid w:val="34EFF96D"/>
    <w:rsid w:val="35230594"/>
    <w:rsid w:val="353F2B1E"/>
    <w:rsid w:val="35B36848"/>
    <w:rsid w:val="35B643B0"/>
    <w:rsid w:val="360662AC"/>
    <w:rsid w:val="362BBE99"/>
    <w:rsid w:val="365EAEB7"/>
    <w:rsid w:val="380B8CC1"/>
    <w:rsid w:val="388DFC49"/>
    <w:rsid w:val="392A4449"/>
    <w:rsid w:val="39893164"/>
    <w:rsid w:val="399D98E3"/>
    <w:rsid w:val="39AB54B7"/>
    <w:rsid w:val="3ADD0400"/>
    <w:rsid w:val="3B896713"/>
    <w:rsid w:val="3BE9399E"/>
    <w:rsid w:val="3C766EFE"/>
    <w:rsid w:val="3CB9C453"/>
    <w:rsid w:val="3CF2BB0F"/>
    <w:rsid w:val="3D563C40"/>
    <w:rsid w:val="3D853499"/>
    <w:rsid w:val="3E0BDFBE"/>
    <w:rsid w:val="3EC1CAD1"/>
    <w:rsid w:val="3EF001F7"/>
    <w:rsid w:val="3FAC7B87"/>
    <w:rsid w:val="401E33CD"/>
    <w:rsid w:val="40D41484"/>
    <w:rsid w:val="41323F76"/>
    <w:rsid w:val="41E65E20"/>
    <w:rsid w:val="42481AAD"/>
    <w:rsid w:val="425B6191"/>
    <w:rsid w:val="428A68AD"/>
    <w:rsid w:val="42F019EF"/>
    <w:rsid w:val="436A0EEC"/>
    <w:rsid w:val="43A555B3"/>
    <w:rsid w:val="43C58FDF"/>
    <w:rsid w:val="443CF3D4"/>
    <w:rsid w:val="4441BD20"/>
    <w:rsid w:val="44583397"/>
    <w:rsid w:val="448128D4"/>
    <w:rsid w:val="44DB229D"/>
    <w:rsid w:val="456E06E4"/>
    <w:rsid w:val="45A72418"/>
    <w:rsid w:val="45DE1F88"/>
    <w:rsid w:val="4631B7C0"/>
    <w:rsid w:val="47884B62"/>
    <w:rsid w:val="47E81594"/>
    <w:rsid w:val="4862F0A5"/>
    <w:rsid w:val="48ED3A7F"/>
    <w:rsid w:val="499D7F50"/>
    <w:rsid w:val="4A233BDD"/>
    <w:rsid w:val="4AB47F88"/>
    <w:rsid w:val="4B491872"/>
    <w:rsid w:val="4B57BCDF"/>
    <w:rsid w:val="4B676E7F"/>
    <w:rsid w:val="4C3598C3"/>
    <w:rsid w:val="4CC62405"/>
    <w:rsid w:val="4D5FEFDD"/>
    <w:rsid w:val="4D9DA1B4"/>
    <w:rsid w:val="4DED7898"/>
    <w:rsid w:val="4DFB370A"/>
    <w:rsid w:val="4F6E692A"/>
    <w:rsid w:val="4F802C4F"/>
    <w:rsid w:val="4FBEB8C2"/>
    <w:rsid w:val="5042B694"/>
    <w:rsid w:val="50E7137D"/>
    <w:rsid w:val="5188117C"/>
    <w:rsid w:val="51FD5322"/>
    <w:rsid w:val="524EAAFF"/>
    <w:rsid w:val="5290F8B7"/>
    <w:rsid w:val="52AB4D55"/>
    <w:rsid w:val="52FCEA42"/>
    <w:rsid w:val="5301E406"/>
    <w:rsid w:val="531E2150"/>
    <w:rsid w:val="53962962"/>
    <w:rsid w:val="5532DB40"/>
    <w:rsid w:val="5532F44F"/>
    <w:rsid w:val="55641349"/>
    <w:rsid w:val="561E171F"/>
    <w:rsid w:val="564C5EB5"/>
    <w:rsid w:val="56CF2DD8"/>
    <w:rsid w:val="57D63E00"/>
    <w:rsid w:val="580F6E62"/>
    <w:rsid w:val="58518067"/>
    <w:rsid w:val="58576C91"/>
    <w:rsid w:val="58676C61"/>
    <w:rsid w:val="58F13DB5"/>
    <w:rsid w:val="59090D17"/>
    <w:rsid w:val="5967D9AB"/>
    <w:rsid w:val="59842A81"/>
    <w:rsid w:val="59EC1D8B"/>
    <w:rsid w:val="5A2AAE63"/>
    <w:rsid w:val="5A82869B"/>
    <w:rsid w:val="5AB38170"/>
    <w:rsid w:val="5AD72D05"/>
    <w:rsid w:val="5AF23FEA"/>
    <w:rsid w:val="5B236645"/>
    <w:rsid w:val="5B32F719"/>
    <w:rsid w:val="5B3F2A14"/>
    <w:rsid w:val="5B4EDB89"/>
    <w:rsid w:val="5B808CE6"/>
    <w:rsid w:val="5BB1C17D"/>
    <w:rsid w:val="5BFF2441"/>
    <w:rsid w:val="5C06E1FF"/>
    <w:rsid w:val="5CBF36A6"/>
    <w:rsid w:val="5D5BAE10"/>
    <w:rsid w:val="5E221D21"/>
    <w:rsid w:val="5E4A65D7"/>
    <w:rsid w:val="5E53F44B"/>
    <w:rsid w:val="5E64CEBB"/>
    <w:rsid w:val="5EFBB4D1"/>
    <w:rsid w:val="5F3D09D6"/>
    <w:rsid w:val="5F4F8F5F"/>
    <w:rsid w:val="5FCC884C"/>
    <w:rsid w:val="5FE93B20"/>
    <w:rsid w:val="603CCA76"/>
    <w:rsid w:val="608009F8"/>
    <w:rsid w:val="60D3F8DC"/>
    <w:rsid w:val="60EB64C8"/>
    <w:rsid w:val="611E38BE"/>
    <w:rsid w:val="61395125"/>
    <w:rsid w:val="6200E753"/>
    <w:rsid w:val="6204DB3A"/>
    <w:rsid w:val="626E3256"/>
    <w:rsid w:val="6271DE22"/>
    <w:rsid w:val="62F6D2AF"/>
    <w:rsid w:val="633FCCB5"/>
    <w:rsid w:val="63BC04CB"/>
    <w:rsid w:val="6424FFF1"/>
    <w:rsid w:val="644E2F04"/>
    <w:rsid w:val="64F49967"/>
    <w:rsid w:val="665262A4"/>
    <w:rsid w:val="66E02C33"/>
    <w:rsid w:val="67239A11"/>
    <w:rsid w:val="673D4B43"/>
    <w:rsid w:val="673E8004"/>
    <w:rsid w:val="676A7A54"/>
    <w:rsid w:val="68247189"/>
    <w:rsid w:val="68A241F4"/>
    <w:rsid w:val="68F48F4A"/>
    <w:rsid w:val="68F7D74F"/>
    <w:rsid w:val="6A29AD4C"/>
    <w:rsid w:val="6AB9387B"/>
    <w:rsid w:val="6B356D30"/>
    <w:rsid w:val="6BBEF7D2"/>
    <w:rsid w:val="6C076C0D"/>
    <w:rsid w:val="6C83CE28"/>
    <w:rsid w:val="6C90ACC0"/>
    <w:rsid w:val="6CCF6B5F"/>
    <w:rsid w:val="6CF793E7"/>
    <w:rsid w:val="6D694DE7"/>
    <w:rsid w:val="6DE304C7"/>
    <w:rsid w:val="6E2B4DC4"/>
    <w:rsid w:val="6E89F458"/>
    <w:rsid w:val="6EC36C15"/>
    <w:rsid w:val="6ED9DBB9"/>
    <w:rsid w:val="6EE19E9C"/>
    <w:rsid w:val="6EF5D40B"/>
    <w:rsid w:val="6F0C0297"/>
    <w:rsid w:val="6F0CB807"/>
    <w:rsid w:val="6F89D558"/>
    <w:rsid w:val="7033824D"/>
    <w:rsid w:val="70592F14"/>
    <w:rsid w:val="70CD13DC"/>
    <w:rsid w:val="7118A584"/>
    <w:rsid w:val="712E0475"/>
    <w:rsid w:val="71526B10"/>
    <w:rsid w:val="71B75B14"/>
    <w:rsid w:val="71EAFFFB"/>
    <w:rsid w:val="722FE126"/>
    <w:rsid w:val="73CB038D"/>
    <w:rsid w:val="73E74490"/>
    <w:rsid w:val="74BD79C9"/>
    <w:rsid w:val="74DF48E8"/>
    <w:rsid w:val="751DB54A"/>
    <w:rsid w:val="75BA0AC2"/>
    <w:rsid w:val="762EE8CC"/>
    <w:rsid w:val="762F54FB"/>
    <w:rsid w:val="763F2B84"/>
    <w:rsid w:val="77A31713"/>
    <w:rsid w:val="7896CDF1"/>
    <w:rsid w:val="7960B8BB"/>
    <w:rsid w:val="7B31BC0B"/>
    <w:rsid w:val="7C8FEF9F"/>
    <w:rsid w:val="7CB0E349"/>
    <w:rsid w:val="7D2636D8"/>
    <w:rsid w:val="7E5775F0"/>
    <w:rsid w:val="7F094F68"/>
    <w:rsid w:val="7F4B2518"/>
    <w:rsid w:val="7F64AEA2"/>
    <w:rsid w:val="7FA92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D04EB"/>
  <w15:docId w15:val="{3146D381-0AD4-9E4E-97D7-B9AE54A7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Nagwekistopka">
    <w:name w:val="Nagłówek i stopka"/>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Stopka1">
    <w:name w:val="Stopka1"/>
    <w:pPr>
      <w:tabs>
        <w:tab w:val="center" w:pos="4536"/>
        <w:tab w:val="right" w:pos="9072"/>
      </w:tabs>
      <w:suppressAutoHyphens/>
      <w:spacing w:line="320" w:lineRule="atLeast"/>
    </w:pPr>
    <w:rPr>
      <w:rFonts w:ascii="Tahoma" w:hAnsi="Tahoma" w:cs="Arial Unicode MS"/>
      <w:color w:val="000000"/>
      <w:u w:color="000000"/>
      <w:lang w:val="it-IT"/>
    </w:rPr>
  </w:style>
  <w:style w:type="character" w:customStyle="1" w:styleId="BrakB">
    <w:name w:val="Brak B"/>
    <w:rPr>
      <w:lang w:val="it-IT"/>
    </w:rPr>
  </w:style>
  <w:style w:type="paragraph" w:customStyle="1" w:styleId="Nagwek1">
    <w:name w:val="Nagłówek1"/>
    <w:pPr>
      <w:tabs>
        <w:tab w:val="center" w:pos="4536"/>
        <w:tab w:val="right" w:pos="9072"/>
      </w:tabs>
      <w:suppressAutoHyphens/>
      <w:spacing w:line="320" w:lineRule="atLeast"/>
    </w:pPr>
    <w:rPr>
      <w:rFonts w:ascii="Tahoma" w:eastAsia="Tahoma" w:hAnsi="Tahoma" w:cs="Tahoma"/>
      <w:color w:val="000000"/>
      <w:u w:color="000000"/>
      <w14:textOutline w14:w="12700" w14:cap="flat" w14:cmpd="sng" w14:algn="ctr">
        <w14:noFill/>
        <w14:prstDash w14:val="solid"/>
        <w14:miter w14:lim="400000"/>
      </w14:textOutline>
    </w:rPr>
  </w:style>
  <w:style w:type="paragraph" w:customStyle="1" w:styleId="Tre">
    <w:name w:val="Treść"/>
    <w:rPr>
      <w:rFonts w:eastAsia="Times New Roman"/>
      <w:color w:val="000000"/>
      <w:sz w:val="24"/>
      <w:szCs w:val="24"/>
      <w:u w:color="000000"/>
      <w14:textOutline w14:w="0" w14:cap="flat" w14:cmpd="sng" w14:algn="ctr">
        <w14:noFill/>
        <w14:prstDash w14:val="solid"/>
        <w14:bevel/>
      </w14:textOutline>
    </w:rPr>
  </w:style>
  <w:style w:type="paragraph" w:customStyle="1" w:styleId="Nagwek21">
    <w:name w:val="Nagłówek 21"/>
    <w:next w:val="Normalny1"/>
    <w:pPr>
      <w:keepNext/>
      <w:tabs>
        <w:tab w:val="left" w:pos="576"/>
      </w:tabs>
      <w:suppressAutoHyphens/>
      <w:spacing w:line="240" w:lineRule="exact"/>
      <w:ind w:left="576" w:hanging="576"/>
      <w:outlineLvl w:val="0"/>
    </w:pPr>
    <w:rPr>
      <w:rFonts w:ascii="Tahoma Bold" w:eastAsia="Tahoma Bold" w:hAnsi="Tahoma Bold" w:cs="Tahoma Bold"/>
      <w:color w:val="000000"/>
      <w:sz w:val="12"/>
      <w:szCs w:val="12"/>
      <w:u w:color="000000"/>
      <w:lang w:val="nl-NL"/>
      <w14:textOutline w14:w="12700" w14:cap="flat" w14:cmpd="sng" w14:algn="ctr">
        <w14:noFill/>
        <w14:prstDash w14:val="solid"/>
        <w14:miter w14:lim="400000"/>
      </w14:textOutline>
    </w:rPr>
  </w:style>
  <w:style w:type="paragraph" w:customStyle="1" w:styleId="Normalny1">
    <w:name w:val="Normalny1"/>
    <w:pPr>
      <w:suppressAutoHyphens/>
      <w:spacing w:line="320" w:lineRule="atLeast"/>
    </w:pPr>
    <w:rPr>
      <w:rFonts w:ascii="Tahoma" w:eastAsia="Tahoma" w:hAnsi="Tahoma" w:cs="Tahoma"/>
      <w:color w:val="000000"/>
      <w:u w:color="000000"/>
    </w:rPr>
  </w:style>
  <w:style w:type="paragraph" w:customStyle="1" w:styleId="TreA">
    <w:name w:val="Treść A"/>
    <w:rPr>
      <w:rFonts w:eastAsia="Times New Roman"/>
      <w:color w:val="000000"/>
      <w:sz w:val="24"/>
      <w:szCs w:val="24"/>
      <w:u w:color="000000"/>
      <w14:textOutline w14:w="12700" w14:cap="flat" w14:cmpd="sng" w14:algn="ctr">
        <w14:noFill/>
        <w14:prstDash w14:val="solid"/>
        <w14:miter w14:lim="400000"/>
      </w14:textOutline>
    </w:rPr>
  </w:style>
  <w:style w:type="paragraph" w:customStyle="1" w:styleId="HeaderAddress">
    <w:name w:val="HeaderAddress"/>
    <w:pPr>
      <w:suppressAutoHyphens/>
    </w:pPr>
    <w:rPr>
      <w:rFonts w:ascii="Tahoma" w:eastAsia="Tahoma" w:hAnsi="Tahoma" w:cs="Tahoma"/>
      <w:color w:val="000000"/>
      <w:sz w:val="16"/>
      <w:szCs w:val="16"/>
      <w:u w:color="000000"/>
    </w:rPr>
  </w:style>
  <w:style w:type="paragraph" w:styleId="Legenda">
    <w:name w:val="caption"/>
    <w:pPr>
      <w:suppressAutoHyphens/>
      <w:outlineLvl w:val="0"/>
    </w:pPr>
    <w:rPr>
      <w:rFonts w:ascii="Helvetica Neue" w:eastAsia="Helvetica Neue" w:hAnsi="Helvetica Neue" w:cs="Helvetica Neue"/>
      <w:color w:val="000000"/>
      <w:sz w:val="36"/>
      <w:szCs w:val="36"/>
      <w:u w:color="000000"/>
      <w14:textOutline w14:w="12700" w14:cap="flat" w14:cmpd="sng" w14:algn="ctr">
        <w14:noFill/>
        <w14:prstDash w14:val="solid"/>
        <w14:miter w14:lim="400000"/>
      </w14:textOutline>
    </w:rPr>
  </w:style>
  <w:style w:type="character" w:customStyle="1" w:styleId="Brak">
    <w:name w:val="Brak"/>
    <w:uiPriority w:val="1"/>
  </w:style>
  <w:style w:type="character" w:customStyle="1" w:styleId="Hyperlink0">
    <w:name w:val="Hyperlink.0"/>
    <w:basedOn w:val="Brak"/>
    <w:rPr>
      <w:outline w:val="0"/>
      <w:color w:val="4F81BD"/>
      <w:sz w:val="18"/>
      <w:szCs w:val="18"/>
      <w:u w:val="single" w:color="4F81BD"/>
    </w:rPr>
  </w:style>
  <w:style w:type="character" w:customStyle="1" w:styleId="Hyperlink1">
    <w:name w:val="Hyperlink.1"/>
    <w:basedOn w:val="Brak"/>
    <w:rPr>
      <w:outline w:val="0"/>
      <w:color w:val="4F81BD"/>
      <w:kern w:val="16"/>
      <w:u w:val="single" w:color="4F81BD"/>
    </w:rPr>
  </w:style>
  <w:style w:type="table" w:styleId="Tabela-Siatka">
    <w:name w:val="Table Grid"/>
    <w:basedOn w:val="Standardowy"/>
    <w:uiPriority w:val="39"/>
    <w:rsid w:val="00CB5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atkatabelijasna">
    <w:name w:val="Grid Table Light"/>
    <w:basedOn w:val="Standardowy"/>
    <w:uiPriority w:val="40"/>
    <w:rsid w:val="00CB5C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7542C0"/>
    <w:rPr>
      <w:sz w:val="18"/>
      <w:szCs w:val="18"/>
    </w:rPr>
  </w:style>
  <w:style w:type="character" w:customStyle="1" w:styleId="TekstdymkaZnak">
    <w:name w:val="Tekst dymka Znak"/>
    <w:basedOn w:val="Domylnaczcionkaakapitu"/>
    <w:link w:val="Tekstdymka"/>
    <w:uiPriority w:val="99"/>
    <w:semiHidden/>
    <w:rsid w:val="007542C0"/>
    <w:rPr>
      <w:sz w:val="18"/>
      <w:szCs w:val="18"/>
    </w:rPr>
  </w:style>
  <w:style w:type="paragraph" w:styleId="Nagwek">
    <w:name w:val="header"/>
    <w:basedOn w:val="Normalny"/>
    <w:link w:val="NagwekZnak"/>
    <w:uiPriority w:val="99"/>
    <w:unhideWhenUsed/>
    <w:rsid w:val="003840BF"/>
    <w:pPr>
      <w:tabs>
        <w:tab w:val="center" w:pos="4536"/>
        <w:tab w:val="right" w:pos="9072"/>
      </w:tabs>
    </w:pPr>
  </w:style>
  <w:style w:type="character" w:customStyle="1" w:styleId="NagwekZnak">
    <w:name w:val="Nagłówek Znak"/>
    <w:basedOn w:val="Domylnaczcionkaakapitu"/>
    <w:link w:val="Nagwek"/>
    <w:uiPriority w:val="99"/>
    <w:rsid w:val="003840BF"/>
    <w:rPr>
      <w:sz w:val="24"/>
      <w:szCs w:val="24"/>
    </w:rPr>
  </w:style>
  <w:style w:type="paragraph" w:styleId="Stopka">
    <w:name w:val="footer"/>
    <w:basedOn w:val="Normalny"/>
    <w:link w:val="StopkaZnak"/>
    <w:uiPriority w:val="99"/>
    <w:unhideWhenUsed/>
    <w:rsid w:val="003840BF"/>
    <w:pPr>
      <w:tabs>
        <w:tab w:val="center" w:pos="4536"/>
        <w:tab w:val="right" w:pos="9072"/>
      </w:tabs>
    </w:pPr>
  </w:style>
  <w:style w:type="character" w:customStyle="1" w:styleId="StopkaZnak">
    <w:name w:val="Stopka Znak"/>
    <w:basedOn w:val="Domylnaczcionkaakapitu"/>
    <w:link w:val="Stopka"/>
    <w:uiPriority w:val="99"/>
    <w:rsid w:val="003840BF"/>
    <w:rPr>
      <w:sz w:val="24"/>
      <w:szCs w:val="24"/>
    </w:rPr>
  </w:style>
  <w:style w:type="paragraph" w:styleId="Tematkomentarza">
    <w:name w:val="annotation subject"/>
    <w:basedOn w:val="Tekstkomentarza"/>
    <w:next w:val="Tekstkomentarza"/>
    <w:link w:val="TematkomentarzaZnak"/>
    <w:uiPriority w:val="99"/>
    <w:semiHidden/>
    <w:unhideWhenUsed/>
    <w:rsid w:val="009446B1"/>
    <w:rPr>
      <w:b/>
      <w:bCs/>
    </w:rPr>
  </w:style>
  <w:style w:type="character" w:customStyle="1" w:styleId="TematkomentarzaZnak">
    <w:name w:val="Temat komentarza Znak"/>
    <w:basedOn w:val="TekstkomentarzaZnak"/>
    <w:link w:val="Tematkomentarza"/>
    <w:uiPriority w:val="99"/>
    <w:semiHidden/>
    <w:rsid w:val="009446B1"/>
    <w:rPr>
      <w:b/>
      <w:bCs/>
    </w:rPr>
  </w:style>
  <w:style w:type="character" w:customStyle="1" w:styleId="BrakA">
    <w:name w:val="Brak A"/>
    <w:rsid w:val="00EC6114"/>
    <w:rPr>
      <w:lang w:val="it-IT"/>
    </w:rPr>
  </w:style>
  <w:style w:type="paragraph" w:styleId="Poprawka">
    <w:name w:val="Revision"/>
    <w:hidden/>
    <w:uiPriority w:val="99"/>
    <w:semiHidden/>
    <w:rsid w:val="008045F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Tekstprzypisukocowego">
    <w:name w:val="endnote text"/>
    <w:basedOn w:val="Normalny"/>
    <w:link w:val="TekstprzypisukocowegoZnak"/>
    <w:uiPriority w:val="99"/>
    <w:semiHidden/>
    <w:unhideWhenUsed/>
    <w:rsid w:val="001E4F6E"/>
    <w:rPr>
      <w:sz w:val="20"/>
      <w:szCs w:val="20"/>
    </w:rPr>
  </w:style>
  <w:style w:type="character" w:customStyle="1" w:styleId="TekstprzypisukocowegoZnak">
    <w:name w:val="Tekst przypisu końcowego Znak"/>
    <w:basedOn w:val="Domylnaczcionkaakapitu"/>
    <w:link w:val="Tekstprzypisukocowego"/>
    <w:uiPriority w:val="99"/>
    <w:semiHidden/>
    <w:rsid w:val="001E4F6E"/>
  </w:style>
  <w:style w:type="character" w:styleId="Odwoanieprzypisukocowego">
    <w:name w:val="endnote reference"/>
    <w:basedOn w:val="Domylnaczcionkaakapitu"/>
    <w:uiPriority w:val="99"/>
    <w:semiHidden/>
    <w:unhideWhenUsed/>
    <w:rsid w:val="001E4F6E"/>
    <w:rPr>
      <w:vertAlign w:val="superscript"/>
    </w:rPr>
  </w:style>
  <w:style w:type="paragraph" w:styleId="Akapitzlist">
    <w:name w:val="List Paragraph"/>
    <w:basedOn w:val="Normalny"/>
    <w:uiPriority w:val="34"/>
    <w:qFormat/>
    <w:rsid w:val="008D1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35642">
      <w:bodyDiv w:val="1"/>
      <w:marLeft w:val="0"/>
      <w:marRight w:val="0"/>
      <w:marTop w:val="0"/>
      <w:marBottom w:val="0"/>
      <w:divBdr>
        <w:top w:val="none" w:sz="0" w:space="0" w:color="auto"/>
        <w:left w:val="none" w:sz="0" w:space="0" w:color="auto"/>
        <w:bottom w:val="none" w:sz="0" w:space="0" w:color="auto"/>
        <w:right w:val="none" w:sz="0" w:space="0" w:color="auto"/>
      </w:divBdr>
      <w:divsChild>
        <w:div w:id="1693994990">
          <w:marLeft w:val="0"/>
          <w:marRight w:val="0"/>
          <w:marTop w:val="0"/>
          <w:marBottom w:val="0"/>
          <w:divBdr>
            <w:top w:val="none" w:sz="0" w:space="0" w:color="auto"/>
            <w:left w:val="none" w:sz="0" w:space="0" w:color="auto"/>
            <w:bottom w:val="none" w:sz="0" w:space="0" w:color="auto"/>
            <w:right w:val="none" w:sz="0" w:space="0" w:color="auto"/>
          </w:divBdr>
        </w:div>
      </w:divsChild>
    </w:div>
    <w:div w:id="192308125">
      <w:bodyDiv w:val="1"/>
      <w:marLeft w:val="0"/>
      <w:marRight w:val="0"/>
      <w:marTop w:val="0"/>
      <w:marBottom w:val="0"/>
      <w:divBdr>
        <w:top w:val="none" w:sz="0" w:space="0" w:color="auto"/>
        <w:left w:val="none" w:sz="0" w:space="0" w:color="auto"/>
        <w:bottom w:val="none" w:sz="0" w:space="0" w:color="auto"/>
        <w:right w:val="none" w:sz="0" w:space="0" w:color="auto"/>
      </w:divBdr>
    </w:div>
    <w:div w:id="238944624">
      <w:bodyDiv w:val="1"/>
      <w:marLeft w:val="0"/>
      <w:marRight w:val="0"/>
      <w:marTop w:val="0"/>
      <w:marBottom w:val="0"/>
      <w:divBdr>
        <w:top w:val="none" w:sz="0" w:space="0" w:color="auto"/>
        <w:left w:val="none" w:sz="0" w:space="0" w:color="auto"/>
        <w:bottom w:val="none" w:sz="0" w:space="0" w:color="auto"/>
        <w:right w:val="none" w:sz="0" w:space="0" w:color="auto"/>
      </w:divBdr>
      <w:divsChild>
        <w:div w:id="1971400938">
          <w:marLeft w:val="0"/>
          <w:marRight w:val="0"/>
          <w:marTop w:val="0"/>
          <w:marBottom w:val="0"/>
          <w:divBdr>
            <w:top w:val="none" w:sz="0" w:space="0" w:color="auto"/>
            <w:left w:val="none" w:sz="0" w:space="0" w:color="auto"/>
            <w:bottom w:val="none" w:sz="0" w:space="0" w:color="auto"/>
            <w:right w:val="none" w:sz="0" w:space="0" w:color="auto"/>
          </w:divBdr>
          <w:divsChild>
            <w:div w:id="1846241163">
              <w:marLeft w:val="0"/>
              <w:marRight w:val="0"/>
              <w:marTop w:val="0"/>
              <w:marBottom w:val="0"/>
              <w:divBdr>
                <w:top w:val="none" w:sz="0" w:space="0" w:color="auto"/>
                <w:left w:val="none" w:sz="0" w:space="0" w:color="auto"/>
                <w:bottom w:val="none" w:sz="0" w:space="0" w:color="auto"/>
                <w:right w:val="none" w:sz="0" w:space="0" w:color="auto"/>
              </w:divBdr>
              <w:divsChild>
                <w:div w:id="158540228">
                  <w:marLeft w:val="0"/>
                  <w:marRight w:val="0"/>
                  <w:marTop w:val="0"/>
                  <w:marBottom w:val="0"/>
                  <w:divBdr>
                    <w:top w:val="none" w:sz="0" w:space="0" w:color="auto"/>
                    <w:left w:val="none" w:sz="0" w:space="0" w:color="auto"/>
                    <w:bottom w:val="none" w:sz="0" w:space="0" w:color="auto"/>
                    <w:right w:val="none" w:sz="0" w:space="0" w:color="auto"/>
                  </w:divBdr>
                  <w:divsChild>
                    <w:div w:id="2510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187011">
      <w:bodyDiv w:val="1"/>
      <w:marLeft w:val="0"/>
      <w:marRight w:val="0"/>
      <w:marTop w:val="0"/>
      <w:marBottom w:val="0"/>
      <w:divBdr>
        <w:top w:val="none" w:sz="0" w:space="0" w:color="auto"/>
        <w:left w:val="none" w:sz="0" w:space="0" w:color="auto"/>
        <w:bottom w:val="none" w:sz="0" w:space="0" w:color="auto"/>
        <w:right w:val="none" w:sz="0" w:space="0" w:color="auto"/>
      </w:divBdr>
      <w:divsChild>
        <w:div w:id="715085938">
          <w:marLeft w:val="0"/>
          <w:marRight w:val="0"/>
          <w:marTop w:val="0"/>
          <w:marBottom w:val="0"/>
          <w:divBdr>
            <w:top w:val="none" w:sz="0" w:space="0" w:color="auto"/>
            <w:left w:val="none" w:sz="0" w:space="0" w:color="auto"/>
            <w:bottom w:val="none" w:sz="0" w:space="0" w:color="auto"/>
            <w:right w:val="none" w:sz="0" w:space="0" w:color="auto"/>
          </w:divBdr>
          <w:divsChild>
            <w:div w:id="2030788609">
              <w:marLeft w:val="0"/>
              <w:marRight w:val="0"/>
              <w:marTop w:val="0"/>
              <w:marBottom w:val="0"/>
              <w:divBdr>
                <w:top w:val="none" w:sz="0" w:space="0" w:color="auto"/>
                <w:left w:val="none" w:sz="0" w:space="0" w:color="auto"/>
                <w:bottom w:val="none" w:sz="0" w:space="0" w:color="auto"/>
                <w:right w:val="none" w:sz="0" w:space="0" w:color="auto"/>
              </w:divBdr>
              <w:divsChild>
                <w:div w:id="1495796059">
                  <w:marLeft w:val="0"/>
                  <w:marRight w:val="0"/>
                  <w:marTop w:val="0"/>
                  <w:marBottom w:val="0"/>
                  <w:divBdr>
                    <w:top w:val="none" w:sz="0" w:space="0" w:color="auto"/>
                    <w:left w:val="none" w:sz="0" w:space="0" w:color="auto"/>
                    <w:bottom w:val="none" w:sz="0" w:space="0" w:color="auto"/>
                    <w:right w:val="none" w:sz="0" w:space="0" w:color="auto"/>
                  </w:divBdr>
                  <w:divsChild>
                    <w:div w:id="11682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696109">
      <w:bodyDiv w:val="1"/>
      <w:marLeft w:val="0"/>
      <w:marRight w:val="0"/>
      <w:marTop w:val="0"/>
      <w:marBottom w:val="0"/>
      <w:divBdr>
        <w:top w:val="none" w:sz="0" w:space="0" w:color="auto"/>
        <w:left w:val="none" w:sz="0" w:space="0" w:color="auto"/>
        <w:bottom w:val="none" w:sz="0" w:space="0" w:color="auto"/>
        <w:right w:val="none" w:sz="0" w:space="0" w:color="auto"/>
      </w:divBdr>
      <w:divsChild>
        <w:div w:id="1079058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andstad.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eusz.zydek@randstad.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44958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
              <a:solidFill>
                <a:srgbClr val="000000"/>
              </a:solidFill>
            </a:uFill>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E431C5474A6E042BB3EF77AA281A3CD" ma:contentTypeVersion="8" ma:contentTypeDescription="Utwórz nowy dokument." ma:contentTypeScope="" ma:versionID="6c5c96df63c5e7c3ad089b031480230b">
  <xsd:schema xmlns:xsd="http://www.w3.org/2001/XMLSchema" xmlns:xs="http://www.w3.org/2001/XMLSchema" xmlns:p="http://schemas.microsoft.com/office/2006/metadata/properties" xmlns:ns2="e96b853f-ce18-4c85-b253-3397f9074f2a" xmlns:ns3="7b806001-f250-4bc2-a379-ef9f7ab61598" targetNamespace="http://schemas.microsoft.com/office/2006/metadata/properties" ma:root="true" ma:fieldsID="9c9f00dbc758703fc413bd2ef9eb8af6" ns2:_="" ns3:_="">
    <xsd:import namespace="e96b853f-ce18-4c85-b253-3397f9074f2a"/>
    <xsd:import namespace="7b806001-f250-4bc2-a379-ef9f7ab615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853f-ce18-4c85-b253-3397f9074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06001-f250-4bc2-a379-ef9f7ab61598"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b806001-f250-4bc2-a379-ef9f7ab61598">
      <UserInfo>
        <DisplayName>Joanna  Lewandowska</DisplayName>
        <AccountId>27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6E553-1144-4DC9-B0D9-519DD8277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b853f-ce18-4c85-b253-3397f9074f2a"/>
    <ds:schemaRef ds:uri="7b806001-f250-4bc2-a379-ef9f7ab61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5BE88-6996-4C53-8013-5F542C5C516B}">
  <ds:schemaRefs>
    <ds:schemaRef ds:uri="http://schemas.microsoft.com/office/2006/metadata/properties"/>
    <ds:schemaRef ds:uri="http://schemas.microsoft.com/office/infopath/2007/PartnerControls"/>
    <ds:schemaRef ds:uri="7b806001-f250-4bc2-a379-ef9f7ab61598"/>
  </ds:schemaRefs>
</ds:datastoreItem>
</file>

<file path=customXml/itemProps3.xml><?xml version="1.0" encoding="utf-8"?>
<ds:datastoreItem xmlns:ds="http://schemas.openxmlformats.org/officeDocument/2006/customXml" ds:itemID="{8A25A03E-E44E-44BA-B463-1C17D51167B3}">
  <ds:schemaRefs>
    <ds:schemaRef ds:uri="http://schemas.microsoft.com/sharepoint/v3/contenttype/forms"/>
  </ds:schemaRefs>
</ds:datastoreItem>
</file>

<file path=customXml/itemProps4.xml><?xml version="1.0" encoding="utf-8"?>
<ds:datastoreItem xmlns:ds="http://schemas.openxmlformats.org/officeDocument/2006/customXml" ds:itemID="{AFF7ECDF-0465-4746-9463-634B64268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1738</Words>
  <Characters>10431</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Mateusz Żydek</dc:creator>
  <cp:lastModifiedBy>Mateusz Żydek</cp:lastModifiedBy>
  <cp:revision>10</cp:revision>
  <cp:lastPrinted>2022-10-03T08:58:00Z</cp:lastPrinted>
  <dcterms:created xsi:type="dcterms:W3CDTF">2025-11-26T07:31:00Z</dcterms:created>
  <dcterms:modified xsi:type="dcterms:W3CDTF">2025-12-08T09:26:00Z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0x0101006E431C5474A6E042BB3EF77AA281A3CD</vt:lpwstr>
  </property>
</Properties>
</file>