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85A1" w14:textId="77777777" w:rsidR="00D72017" w:rsidRDefault="00D72017"/>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010C3C" w14:paraId="395A0E5B" w14:textId="77777777" w:rsidTr="02F55C5F">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1E54D346" w:rsidR="005F07BC" w:rsidRPr="00010C3C" w:rsidRDefault="001A7186" w:rsidP="00CD3D51">
            <w:pPr>
              <w:pStyle w:val="Nagwek21"/>
              <w:tabs>
                <w:tab w:val="clear" w:pos="576"/>
              </w:tabs>
              <w:spacing w:line="276" w:lineRule="auto"/>
              <w:ind w:left="62" w:firstLine="0"/>
              <w:rPr>
                <w:rFonts w:ascii="Tahoma" w:hAnsi="Tahoma" w:cs="Tahoma"/>
                <w:lang w:val="pl-PL"/>
              </w:rPr>
            </w:pPr>
            <w:r w:rsidRPr="59EC1D8B">
              <w:rPr>
                <w:rFonts w:ascii="Tahoma" w:hAnsi="Tahoma" w:cs="Tahoma"/>
                <w:lang w:val="pl-PL"/>
              </w:rPr>
              <w:t>data:</w:t>
            </w:r>
            <w:r>
              <w:br/>
            </w:r>
            <w:r w:rsidR="00CD3D51">
              <w:rPr>
                <w:sz w:val="16"/>
                <w:szCs w:val="16"/>
                <w:lang w:val="pl-PL"/>
              </w:rPr>
              <w:t>17 czerwc</w:t>
            </w:r>
            <w:r w:rsidR="1CEAC326" w:rsidRPr="59EC1D8B">
              <w:rPr>
                <w:sz w:val="16"/>
                <w:szCs w:val="16"/>
                <w:lang w:val="pl-PL"/>
              </w:rPr>
              <w:t xml:space="preserve">a </w:t>
            </w:r>
            <w:r w:rsidR="00D72017" w:rsidRPr="59EC1D8B">
              <w:rPr>
                <w:sz w:val="16"/>
                <w:szCs w:val="16"/>
                <w:lang w:val="pl-PL"/>
              </w:rPr>
              <w:t>2025 r.</w:t>
            </w:r>
          </w:p>
        </w:tc>
      </w:tr>
      <w:tr w:rsidR="005F07BC" w:rsidRPr="00D72017" w14:paraId="774417E1" w14:textId="77777777" w:rsidTr="02F55C5F">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7A6DB566" w:rsidR="005F07BC" w:rsidRPr="00010C3C" w:rsidRDefault="008F46B0" w:rsidP="00D72017">
            <w:pPr>
              <w:pStyle w:val="Nagwek21"/>
              <w:tabs>
                <w:tab w:val="clear" w:pos="576"/>
              </w:tabs>
              <w:spacing w:line="276" w:lineRule="auto"/>
              <w:ind w:left="-514" w:firstLine="0"/>
              <w:rPr>
                <w:rFonts w:ascii="Tahoma" w:hAnsi="Tahoma" w:cs="Tahoma"/>
                <w:lang w:val="pl-PL"/>
              </w:rPr>
            </w:pPr>
            <w:r w:rsidRPr="00010C3C">
              <w:rPr>
                <w:rFonts w:ascii="Tahoma" w:hAnsi="Tahoma" w:cs="Tahoma"/>
                <w:lang w:val="pl-PL"/>
              </w:rPr>
              <w:t>informacje</w:t>
            </w:r>
            <w:r w:rsidR="001A7186" w:rsidRPr="00010C3C">
              <w:rPr>
                <w:rFonts w:ascii="Tahoma" w:hAnsi="Tahoma" w:cs="Tahoma"/>
                <w:lang w:val="pl-PL"/>
              </w:rPr>
              <w:t xml:space="preserve"> dodatkowe:</w:t>
            </w:r>
            <w:r w:rsidR="00D72017">
              <w:rPr>
                <w:rFonts w:ascii="Tahoma" w:hAnsi="Tahoma" w:cs="Tahoma"/>
                <w:lang w:val="pl-PL"/>
              </w:rPr>
              <w:br/>
            </w:r>
            <w:r w:rsidR="00D72017" w:rsidRPr="00010C3C">
              <w:rPr>
                <w:sz w:val="16"/>
                <w:szCs w:val="16"/>
                <w:lang w:val="pl-PL"/>
              </w:rPr>
              <w:t>Mateusz Żydek</w:t>
            </w:r>
          </w:p>
        </w:tc>
      </w:tr>
      <w:tr w:rsidR="005F07BC" w:rsidRPr="00D72017" w14:paraId="528A8D15" w14:textId="77777777" w:rsidTr="02F55C5F">
        <w:trPr>
          <w:trHeight w:val="15"/>
        </w:trPr>
        <w:tc>
          <w:tcPr>
            <w:tcW w:w="1843" w:type="dxa"/>
            <w:tcBorders>
              <w:top w:val="nil"/>
              <w:left w:val="nil"/>
              <w:bottom w:val="nil"/>
              <w:right w:val="nil"/>
            </w:tcBorders>
            <w:shd w:val="clear" w:color="auto" w:fill="auto"/>
            <w:tcMar>
              <w:top w:w="80" w:type="dxa"/>
              <w:left w:w="656" w:type="dxa"/>
              <w:bottom w:w="80" w:type="dxa"/>
              <w:right w:w="80" w:type="dxa"/>
            </w:tcMar>
          </w:tcPr>
          <w:p w14:paraId="6D4BBF7B" w14:textId="77777777" w:rsidR="005F07BC" w:rsidRDefault="001A7186" w:rsidP="00D72017">
            <w:pPr>
              <w:pStyle w:val="Nagwek21"/>
              <w:spacing w:line="276" w:lineRule="auto"/>
              <w:ind w:left="-514" w:firstLine="0"/>
              <w:rPr>
                <w:rFonts w:ascii="Tahoma" w:hAnsi="Tahoma" w:cs="Tahoma"/>
                <w:lang w:val="pl-PL"/>
              </w:rPr>
            </w:pPr>
            <w:r w:rsidRPr="00010C3C">
              <w:rPr>
                <w:rFonts w:ascii="Tahoma" w:hAnsi="Tahoma" w:cs="Tahoma"/>
                <w:lang w:val="pl-PL"/>
              </w:rPr>
              <w:t>telefon:</w:t>
            </w:r>
          </w:p>
          <w:p w14:paraId="329D2B15" w14:textId="31E12507" w:rsidR="00D72017" w:rsidRPr="00D72017" w:rsidRDefault="2A2FC801" w:rsidP="00D72017">
            <w:pPr>
              <w:pStyle w:val="Normalny1"/>
              <w:spacing w:line="240" w:lineRule="auto"/>
              <w:ind w:left="-514"/>
              <w:rPr>
                <w:lang w:val="pl-PL"/>
              </w:rPr>
            </w:pPr>
            <w:r w:rsidRPr="02F55C5F">
              <w:rPr>
                <w:sz w:val="16"/>
                <w:szCs w:val="16"/>
                <w:lang w:val="pl-PL"/>
              </w:rPr>
              <w:t>+ 48 665 305 902</w:t>
            </w:r>
          </w:p>
        </w:tc>
      </w:tr>
      <w:tr w:rsidR="00D72017" w:rsidRPr="00D72017" w14:paraId="02F43293" w14:textId="77777777" w:rsidTr="02F55C5F">
        <w:trPr>
          <w:trHeight w:val="15"/>
        </w:trPr>
        <w:tc>
          <w:tcPr>
            <w:tcW w:w="1843" w:type="dxa"/>
            <w:tcBorders>
              <w:top w:val="nil"/>
              <w:left w:val="nil"/>
              <w:bottom w:val="nil"/>
              <w:right w:val="nil"/>
            </w:tcBorders>
            <w:shd w:val="clear" w:color="auto" w:fill="auto"/>
            <w:tcMar>
              <w:top w:w="80" w:type="dxa"/>
              <w:left w:w="656" w:type="dxa"/>
              <w:bottom w:w="80" w:type="dxa"/>
              <w:right w:w="80" w:type="dxa"/>
            </w:tcMar>
          </w:tcPr>
          <w:p w14:paraId="0832903A" w14:textId="77777777" w:rsidR="00D72017" w:rsidRPr="009340B6" w:rsidRDefault="00D72017" w:rsidP="00D72017">
            <w:pPr>
              <w:pStyle w:val="Normalny1"/>
              <w:spacing w:line="240" w:lineRule="auto"/>
              <w:ind w:left="-514"/>
              <w:rPr>
                <w:sz w:val="12"/>
                <w:szCs w:val="16"/>
              </w:rPr>
            </w:pPr>
            <w:r w:rsidRPr="009340B6">
              <w:rPr>
                <w:sz w:val="12"/>
                <w:szCs w:val="16"/>
              </w:rPr>
              <w:t>e-mail:</w:t>
            </w:r>
          </w:p>
          <w:p w14:paraId="40EDEEF0" w14:textId="73B6C15D" w:rsidR="00D72017" w:rsidRPr="009340B6" w:rsidRDefault="00D72017" w:rsidP="00D72017">
            <w:pPr>
              <w:pStyle w:val="Normalny1"/>
              <w:spacing w:line="240" w:lineRule="auto"/>
              <w:ind w:left="-514"/>
            </w:pPr>
            <w:proofErr w:type="spellStart"/>
            <w:r w:rsidRPr="009340B6">
              <w:rPr>
                <w:sz w:val="16"/>
                <w:szCs w:val="16"/>
              </w:rPr>
              <w:t>mateusz.zydek</w:t>
            </w:r>
            <w:proofErr w:type="spellEnd"/>
            <w:r w:rsidRPr="009340B6">
              <w:rPr>
                <w:sz w:val="16"/>
                <w:szCs w:val="16"/>
              </w:rPr>
              <w:t>@</w:t>
            </w:r>
            <w:r w:rsidRPr="009340B6">
              <w:rPr>
                <w:sz w:val="16"/>
                <w:szCs w:val="16"/>
              </w:rPr>
              <w:br/>
              <w:t>randstad.pl</w:t>
            </w:r>
          </w:p>
        </w:tc>
      </w:tr>
    </w:tbl>
    <w:p w14:paraId="24F427E2" w14:textId="77777777" w:rsidR="005F07BC" w:rsidRPr="009340B6" w:rsidRDefault="005F07BC" w:rsidP="00C73E88">
      <w:pPr>
        <w:pStyle w:val="Tre"/>
        <w:widowControl w:val="0"/>
        <w:spacing w:line="276" w:lineRule="auto"/>
        <w:ind w:left="216" w:hanging="216"/>
        <w:rPr>
          <w:rFonts w:ascii="Tahoma" w:hAnsi="Tahoma" w:cs="Tahoma"/>
        </w:rPr>
      </w:pPr>
    </w:p>
    <w:p w14:paraId="45AABE00" w14:textId="77777777" w:rsidR="005F07BC" w:rsidRPr="009340B6" w:rsidRDefault="005F07BC" w:rsidP="00C73E88">
      <w:pPr>
        <w:pStyle w:val="TreA"/>
        <w:widowControl w:val="0"/>
        <w:spacing w:line="276" w:lineRule="auto"/>
        <w:ind w:left="108" w:hanging="108"/>
        <w:rPr>
          <w:rFonts w:ascii="Tahoma" w:hAnsi="Tahoma" w:cs="Tahoma"/>
        </w:rPr>
      </w:pPr>
    </w:p>
    <w:p w14:paraId="2A785417" w14:textId="42EC8707" w:rsidR="00A955C1" w:rsidRPr="00CD3D51" w:rsidRDefault="00CD3D51" w:rsidP="00CD3D51">
      <w:pPr>
        <w:spacing w:line="276" w:lineRule="auto"/>
        <w:rPr>
          <w:rFonts w:ascii="Tahoma" w:hAnsi="Tahoma" w:cs="Tahoma"/>
          <w:color w:val="0070C0"/>
          <w:lang w:val="pl-PL"/>
        </w:rPr>
      </w:pPr>
      <w:r w:rsidRPr="00CD3D51">
        <w:rPr>
          <w:rFonts w:ascii="Tahoma" w:eastAsia="Tahoma" w:hAnsi="Tahoma" w:cs="Tahoma"/>
          <w:color w:val="0070C0"/>
          <w:sz w:val="32"/>
          <w:szCs w:val="32"/>
          <w:u w:color="000000"/>
          <w:lang w:val="pl-PL"/>
        </w:rPr>
        <w:t>Ostrożne plany rekrutacyjne firm, ale pracodawcy szykują się na kompromisy wobec niedoboru kandydatów na rynku pracy</w:t>
      </w:r>
      <w:r>
        <w:rPr>
          <w:rFonts w:ascii="Tahoma" w:hAnsi="Tahoma" w:cs="Tahoma"/>
          <w:color w:val="0070C0"/>
          <w:lang w:val="pl-PL"/>
        </w:rPr>
        <w:t>.</w:t>
      </w:r>
    </w:p>
    <w:p w14:paraId="59B63774" w14:textId="6802ABFB" w:rsidR="00CD3D51" w:rsidRPr="00CD3D51" w:rsidRDefault="00CD3D51" w:rsidP="00CD3D51">
      <w:pPr>
        <w:pStyle w:val="HeaderAddress"/>
        <w:spacing w:before="240" w:line="276" w:lineRule="auto"/>
        <w:rPr>
          <w:b/>
          <w:sz w:val="20"/>
          <w:szCs w:val="20"/>
          <w:lang w:val="pl-PL"/>
        </w:rPr>
      </w:pPr>
      <w:r w:rsidRPr="00CD3D51">
        <w:rPr>
          <w:b/>
          <w:sz w:val="20"/>
          <w:szCs w:val="20"/>
          <w:lang w:val="pl-PL"/>
        </w:rPr>
        <w:t xml:space="preserve">W drugiej połowie 2025 roku polskie przedsiębiorstwa ostrożnie podchodzą do planów rekrutacyjnych – 18 proc. firm planuje zwiększyć zatrudnienie, natomiast aż 74 proc. chce je utrzymać na obecnym poziomie. Jednocześnie 65 proc. przedsiębiorstw ocenia swoją kondycję finansową jako dobrą, co sugeruje, że poprawiająca się sytuacja gospodarcza może sprzyjać zintensyfikowaniu rekrutacji. </w:t>
      </w:r>
      <w:r>
        <w:rPr>
          <w:b/>
          <w:sz w:val="20"/>
          <w:szCs w:val="20"/>
          <w:lang w:val="pl-PL"/>
        </w:rPr>
        <w:t xml:space="preserve">Jednocześnie jednak badanie </w:t>
      </w:r>
      <w:proofErr w:type="spellStart"/>
      <w:r>
        <w:rPr>
          <w:b/>
          <w:sz w:val="20"/>
          <w:szCs w:val="20"/>
          <w:lang w:val="pl-PL"/>
        </w:rPr>
        <w:t>Randstad</w:t>
      </w:r>
      <w:proofErr w:type="spellEnd"/>
      <w:r>
        <w:rPr>
          <w:b/>
          <w:sz w:val="20"/>
          <w:szCs w:val="20"/>
          <w:lang w:val="pl-PL"/>
        </w:rPr>
        <w:t xml:space="preserve"> realizowane wśród pracowników pokazuje, że rośnie odsetek osób, które przy lepsze</w:t>
      </w:r>
      <w:r w:rsidR="00573353">
        <w:rPr>
          <w:b/>
          <w:sz w:val="20"/>
          <w:szCs w:val="20"/>
          <w:lang w:val="pl-PL"/>
        </w:rPr>
        <w:t>j</w:t>
      </w:r>
      <w:r>
        <w:rPr>
          <w:b/>
          <w:sz w:val="20"/>
          <w:szCs w:val="20"/>
          <w:lang w:val="pl-PL"/>
        </w:rPr>
        <w:t xml:space="preserve"> koniunkturze mogą zmienić zatrudnienie.</w:t>
      </w:r>
      <w:r w:rsidR="00573353">
        <w:rPr>
          <w:b/>
          <w:sz w:val="20"/>
          <w:szCs w:val="20"/>
          <w:lang w:val="pl-PL"/>
        </w:rPr>
        <w:t xml:space="preserve"> Niesie to ryzyko zwiększonej rotacji w firmach i </w:t>
      </w:r>
      <w:r w:rsidRPr="00CD3D51">
        <w:rPr>
          <w:b/>
          <w:sz w:val="20"/>
          <w:szCs w:val="20"/>
          <w:lang w:val="pl-PL"/>
        </w:rPr>
        <w:t xml:space="preserve">skłania pracodawców do </w:t>
      </w:r>
      <w:r w:rsidR="00573353">
        <w:rPr>
          <w:b/>
          <w:sz w:val="20"/>
          <w:szCs w:val="20"/>
          <w:lang w:val="pl-PL"/>
        </w:rPr>
        <w:t xml:space="preserve">pewnych </w:t>
      </w:r>
      <w:r w:rsidRPr="00CD3D51">
        <w:rPr>
          <w:b/>
          <w:sz w:val="20"/>
          <w:szCs w:val="20"/>
          <w:lang w:val="pl-PL"/>
        </w:rPr>
        <w:t xml:space="preserve">kompromisów w </w:t>
      </w:r>
      <w:r w:rsidR="00573353">
        <w:rPr>
          <w:b/>
          <w:sz w:val="20"/>
          <w:szCs w:val="20"/>
          <w:lang w:val="pl-PL"/>
        </w:rPr>
        <w:t>procesach rekrutacyjnych</w:t>
      </w:r>
      <w:r w:rsidRPr="00CD3D51">
        <w:rPr>
          <w:b/>
          <w:sz w:val="20"/>
          <w:szCs w:val="20"/>
          <w:lang w:val="pl-PL"/>
        </w:rPr>
        <w:t>. Wyniki 51. edycji badania „Plany Pracodawców” Instytut</w:t>
      </w:r>
      <w:r w:rsidR="00573353">
        <w:rPr>
          <w:b/>
          <w:sz w:val="20"/>
          <w:szCs w:val="20"/>
          <w:lang w:val="pl-PL"/>
        </w:rPr>
        <w:t>u</w:t>
      </w:r>
      <w:r w:rsidRPr="00CD3D51">
        <w:rPr>
          <w:b/>
          <w:sz w:val="20"/>
          <w:szCs w:val="20"/>
          <w:lang w:val="pl-PL"/>
        </w:rPr>
        <w:t xml:space="preserve"> Badawcz</w:t>
      </w:r>
      <w:r w:rsidR="00573353">
        <w:rPr>
          <w:b/>
          <w:sz w:val="20"/>
          <w:szCs w:val="20"/>
          <w:lang w:val="pl-PL"/>
        </w:rPr>
        <w:t>ego</w:t>
      </w:r>
      <w:r w:rsidRPr="00CD3D51">
        <w:rPr>
          <w:b/>
          <w:sz w:val="20"/>
          <w:szCs w:val="20"/>
          <w:lang w:val="pl-PL"/>
        </w:rPr>
        <w:t xml:space="preserve"> </w:t>
      </w:r>
      <w:proofErr w:type="spellStart"/>
      <w:r w:rsidRPr="00CD3D51">
        <w:rPr>
          <w:b/>
          <w:sz w:val="20"/>
          <w:szCs w:val="20"/>
          <w:lang w:val="pl-PL"/>
        </w:rPr>
        <w:t>Randstad</w:t>
      </w:r>
      <w:proofErr w:type="spellEnd"/>
      <w:r w:rsidRPr="00CD3D51">
        <w:rPr>
          <w:b/>
          <w:sz w:val="20"/>
          <w:szCs w:val="20"/>
          <w:lang w:val="pl-PL"/>
        </w:rPr>
        <w:t xml:space="preserve"> i Instytut</w:t>
      </w:r>
      <w:r w:rsidR="00573353">
        <w:rPr>
          <w:b/>
          <w:sz w:val="20"/>
          <w:szCs w:val="20"/>
          <w:lang w:val="pl-PL"/>
        </w:rPr>
        <w:t>u</w:t>
      </w:r>
      <w:r w:rsidRPr="00CD3D51">
        <w:rPr>
          <w:b/>
          <w:sz w:val="20"/>
          <w:szCs w:val="20"/>
          <w:lang w:val="pl-PL"/>
        </w:rPr>
        <w:t xml:space="preserve"> Badań </w:t>
      </w:r>
      <w:proofErr w:type="spellStart"/>
      <w:r w:rsidRPr="00CD3D51">
        <w:rPr>
          <w:b/>
          <w:sz w:val="20"/>
          <w:szCs w:val="20"/>
          <w:lang w:val="pl-PL"/>
        </w:rPr>
        <w:t>Pollster</w:t>
      </w:r>
      <w:proofErr w:type="spellEnd"/>
      <w:r w:rsidRPr="00CD3D51">
        <w:rPr>
          <w:b/>
          <w:sz w:val="20"/>
          <w:szCs w:val="20"/>
          <w:lang w:val="pl-PL"/>
        </w:rPr>
        <w:t xml:space="preserve"> pokazują, że </w:t>
      </w:r>
      <w:r w:rsidR="00573353">
        <w:rPr>
          <w:b/>
          <w:sz w:val="20"/>
          <w:szCs w:val="20"/>
          <w:lang w:val="pl-PL"/>
        </w:rPr>
        <w:t xml:space="preserve">część firm </w:t>
      </w:r>
      <w:r w:rsidRPr="00CD3D51">
        <w:rPr>
          <w:b/>
          <w:sz w:val="20"/>
          <w:szCs w:val="20"/>
          <w:lang w:val="pl-PL"/>
        </w:rPr>
        <w:t xml:space="preserve">stawia na elastyczność w </w:t>
      </w:r>
      <w:r w:rsidR="00573353">
        <w:rPr>
          <w:b/>
          <w:sz w:val="20"/>
          <w:szCs w:val="20"/>
          <w:lang w:val="pl-PL"/>
        </w:rPr>
        <w:t>oczekiwaniach stawianych kandydatom,</w:t>
      </w:r>
      <w:r w:rsidRPr="00CD3D51">
        <w:rPr>
          <w:b/>
          <w:sz w:val="20"/>
          <w:szCs w:val="20"/>
          <w:lang w:val="pl-PL"/>
        </w:rPr>
        <w:t xml:space="preserve"> </w:t>
      </w:r>
      <w:r w:rsidR="00573353">
        <w:rPr>
          <w:b/>
          <w:sz w:val="20"/>
          <w:szCs w:val="20"/>
          <w:lang w:val="pl-PL"/>
        </w:rPr>
        <w:t xml:space="preserve">zakładając </w:t>
      </w:r>
      <w:r w:rsidRPr="00CD3D51">
        <w:rPr>
          <w:b/>
          <w:sz w:val="20"/>
          <w:szCs w:val="20"/>
          <w:lang w:val="pl-PL"/>
        </w:rPr>
        <w:t xml:space="preserve">rozwój </w:t>
      </w:r>
      <w:r w:rsidR="00573353">
        <w:rPr>
          <w:b/>
          <w:sz w:val="20"/>
          <w:szCs w:val="20"/>
          <w:lang w:val="pl-PL"/>
        </w:rPr>
        <w:t xml:space="preserve">umiejętności pracowników w organizacji. To jeden ze sposobów radzenia sobie z </w:t>
      </w:r>
      <w:r w:rsidRPr="00CD3D51">
        <w:rPr>
          <w:b/>
          <w:sz w:val="20"/>
          <w:szCs w:val="20"/>
          <w:lang w:val="pl-PL"/>
        </w:rPr>
        <w:t>luk</w:t>
      </w:r>
      <w:r w:rsidR="00573353">
        <w:rPr>
          <w:b/>
          <w:sz w:val="20"/>
          <w:szCs w:val="20"/>
          <w:lang w:val="pl-PL"/>
        </w:rPr>
        <w:t>ą</w:t>
      </w:r>
      <w:r w:rsidRPr="00CD3D51">
        <w:rPr>
          <w:b/>
          <w:sz w:val="20"/>
          <w:szCs w:val="20"/>
          <w:lang w:val="pl-PL"/>
        </w:rPr>
        <w:t xml:space="preserve"> </w:t>
      </w:r>
      <w:r w:rsidR="00573353">
        <w:rPr>
          <w:b/>
          <w:sz w:val="20"/>
          <w:szCs w:val="20"/>
          <w:lang w:val="pl-PL"/>
        </w:rPr>
        <w:t>kompetencyjną na rynku pracy</w:t>
      </w:r>
      <w:r w:rsidRPr="00CD3D51">
        <w:rPr>
          <w:b/>
          <w:sz w:val="20"/>
          <w:szCs w:val="20"/>
          <w:lang w:val="pl-PL"/>
        </w:rPr>
        <w:t>.</w:t>
      </w:r>
    </w:p>
    <w:p w14:paraId="3E7A3508" w14:textId="77777777" w:rsidR="00CD3D51" w:rsidRPr="00CD3D51" w:rsidRDefault="00CD3D51" w:rsidP="00CD3D51">
      <w:pPr>
        <w:pStyle w:val="HeaderAddress"/>
        <w:spacing w:before="240" w:line="276" w:lineRule="auto"/>
        <w:rPr>
          <w:b/>
          <w:color w:val="0070C0"/>
          <w:sz w:val="20"/>
          <w:szCs w:val="20"/>
          <w:lang w:val="pl-PL"/>
        </w:rPr>
      </w:pPr>
      <w:r w:rsidRPr="00CD3D51">
        <w:rPr>
          <w:b/>
          <w:color w:val="0070C0"/>
          <w:sz w:val="20"/>
          <w:szCs w:val="20"/>
          <w:lang w:val="pl-PL"/>
        </w:rPr>
        <w:t>Ostrożny optymizm – więcej sygnałów gospodarczej równowagi niż wzrostu</w:t>
      </w:r>
    </w:p>
    <w:p w14:paraId="71515037" w14:textId="6240BA6C" w:rsidR="00CD3D51" w:rsidRPr="00CD3D51" w:rsidRDefault="00CD3D51" w:rsidP="00CD3D51">
      <w:pPr>
        <w:pStyle w:val="HeaderAddress"/>
        <w:spacing w:before="240" w:line="276" w:lineRule="auto"/>
        <w:rPr>
          <w:sz w:val="20"/>
          <w:szCs w:val="20"/>
          <w:lang w:val="pl-PL"/>
        </w:rPr>
      </w:pPr>
      <w:r w:rsidRPr="00CD3D51">
        <w:rPr>
          <w:sz w:val="20"/>
          <w:szCs w:val="20"/>
          <w:lang w:val="pl-PL"/>
        </w:rPr>
        <w:t>Już od niemal dwóch lat w ramach badania zdecydowana większość firm wskazuje na stagnację gospodarczą – aż 41 proc., a 22 proc. spodziewa się recesji, na</w:t>
      </w:r>
      <w:r>
        <w:rPr>
          <w:sz w:val="20"/>
          <w:szCs w:val="20"/>
          <w:lang w:val="pl-PL"/>
        </w:rPr>
        <w:t>tomiast 15 proc. dostrzega ozna</w:t>
      </w:r>
      <w:r w:rsidRPr="00CD3D51">
        <w:rPr>
          <w:sz w:val="20"/>
          <w:szCs w:val="20"/>
          <w:lang w:val="pl-PL"/>
        </w:rPr>
        <w:t>ki wzrostu gospodarczego.</w:t>
      </w:r>
    </w:p>
    <w:p w14:paraId="06C72EE5" w14:textId="47CCE146" w:rsidR="00CD3D51" w:rsidRPr="00CD3D51" w:rsidRDefault="00CD3D51" w:rsidP="00CD3D51">
      <w:pPr>
        <w:pStyle w:val="HeaderAddress"/>
        <w:spacing w:before="240" w:line="276" w:lineRule="auto"/>
        <w:rPr>
          <w:sz w:val="20"/>
          <w:szCs w:val="20"/>
          <w:lang w:val="pl-PL"/>
        </w:rPr>
      </w:pPr>
      <w:r w:rsidRPr="00CD3D51">
        <w:rPr>
          <w:sz w:val="20"/>
          <w:szCs w:val="20"/>
          <w:lang w:val="pl-PL"/>
        </w:rPr>
        <w:t xml:space="preserve">W porównaniu do pierwszej połowy 2025 roku optymizm gospodarczy wśród pracodawców zmalał o 7 punktów procentowych, co świadczy o wzroście niepewności. Najbardziej pozytywnie do prognozy sytuacji gospodarczej odnoszą się duże przedsiębiorstwa zatrudniające ponad 250 osób (32 proc. optymistów), a także firmy z sektorów finansów </w:t>
      </w:r>
      <w:r>
        <w:rPr>
          <w:sz w:val="20"/>
          <w:szCs w:val="20"/>
          <w:lang w:val="pl-PL"/>
        </w:rPr>
        <w:t>i ubezpieczeń (22 proc.), trans</w:t>
      </w:r>
      <w:r w:rsidRPr="00CD3D51">
        <w:rPr>
          <w:sz w:val="20"/>
          <w:szCs w:val="20"/>
          <w:lang w:val="pl-PL"/>
        </w:rPr>
        <w:t>portu i logistyki (21 proc.) oraz przemysłu (17 proc.). Z kolei najmniej optymistyczne oceny deklarują przedstawiciele sektora obsługi nieruchomości i firm – tylko 7 z nich proc</w:t>
      </w:r>
      <w:r>
        <w:rPr>
          <w:sz w:val="20"/>
          <w:szCs w:val="20"/>
          <w:lang w:val="pl-PL"/>
        </w:rPr>
        <w:t>. wskazuje na poprawę sytuacji.</w:t>
      </w:r>
    </w:p>
    <w:p w14:paraId="2A0622F2" w14:textId="6911F961" w:rsidR="00CD3D51" w:rsidRPr="00CD3D51" w:rsidRDefault="00CD3D51" w:rsidP="00CD3D51">
      <w:pPr>
        <w:pStyle w:val="HeaderAddress"/>
        <w:spacing w:before="240" w:line="276" w:lineRule="auto"/>
        <w:rPr>
          <w:sz w:val="20"/>
          <w:szCs w:val="20"/>
          <w:lang w:val="pl-PL"/>
        </w:rPr>
      </w:pPr>
      <w:r w:rsidRPr="00CD3D51">
        <w:rPr>
          <w:sz w:val="20"/>
          <w:szCs w:val="20"/>
          <w:lang w:val="pl-PL"/>
        </w:rPr>
        <w:t xml:space="preserve">– </w:t>
      </w:r>
      <w:r w:rsidRPr="00CD3D51">
        <w:rPr>
          <w:i/>
          <w:sz w:val="20"/>
          <w:szCs w:val="20"/>
          <w:lang w:val="pl-PL"/>
        </w:rPr>
        <w:t xml:space="preserve">Ocena bieżącej sytuacji gospodarczej w Polsce nadal jest zachowawcza. Pojawiają się pozytywne sygnały, takie jak stabilizacja inflacji, czy umiarkowany wzrost PKB. Jednak niepokój budzi kondycja gospodarek zachodnioeuropejskich, które są istotnymi partnerami handlowymi Polski. Widzimy także dywersyfikację prognoz dotyczących wzrostu gospodarczego na poziomie regionalnym. W praktyce potwierdza to, że przedsiębiorcy nie patrzą już tylko na krajowe wskaźniki makroekonomiczne, lecz coraz bardziej uwzględniają specyfikę otoczenia biznesowego w swoich regionach, co przekłada się na zróżnicowane podejście do inwestycji i zatrudnienia. Ostrożność w ocenie perspektyw gospodarczych jest więc uzasadniona, a jednocześnie sygnalizuje, że przedsiębiorcy są świadomi wyzwań i chcą podejmować decyzje </w:t>
      </w:r>
      <w:r w:rsidR="00573353">
        <w:rPr>
          <w:i/>
          <w:sz w:val="20"/>
          <w:szCs w:val="20"/>
          <w:lang w:val="pl-PL"/>
        </w:rPr>
        <w:t xml:space="preserve">w obszarze zatrudnienia czy wynagrodzeń </w:t>
      </w:r>
      <w:r w:rsidRPr="00CD3D51">
        <w:rPr>
          <w:i/>
          <w:sz w:val="20"/>
          <w:szCs w:val="20"/>
          <w:lang w:val="pl-PL"/>
        </w:rPr>
        <w:t xml:space="preserve">w przemyślany </w:t>
      </w:r>
      <w:r w:rsidR="00573353">
        <w:rPr>
          <w:i/>
          <w:sz w:val="20"/>
          <w:szCs w:val="20"/>
          <w:lang w:val="pl-PL"/>
        </w:rPr>
        <w:t xml:space="preserve">i odpowiedzialny </w:t>
      </w:r>
      <w:r w:rsidRPr="00CD3D51">
        <w:rPr>
          <w:i/>
          <w:sz w:val="20"/>
          <w:szCs w:val="20"/>
          <w:lang w:val="pl-PL"/>
        </w:rPr>
        <w:t>sposób</w:t>
      </w:r>
      <w:r>
        <w:rPr>
          <w:sz w:val="20"/>
          <w:szCs w:val="20"/>
          <w:lang w:val="pl-PL"/>
        </w:rPr>
        <w:t xml:space="preserve"> – mówi </w:t>
      </w:r>
      <w:r w:rsidR="00542483">
        <w:rPr>
          <w:b/>
          <w:sz w:val="20"/>
          <w:szCs w:val="20"/>
          <w:lang w:val="pl-PL"/>
        </w:rPr>
        <w:t xml:space="preserve">Marzena </w:t>
      </w:r>
      <w:proofErr w:type="spellStart"/>
      <w:r w:rsidR="00542483">
        <w:rPr>
          <w:b/>
          <w:sz w:val="20"/>
          <w:szCs w:val="20"/>
          <w:lang w:val="pl-PL"/>
        </w:rPr>
        <w:t>Milinkiewicz</w:t>
      </w:r>
      <w:proofErr w:type="spellEnd"/>
      <w:r w:rsidRPr="00CD3D51">
        <w:rPr>
          <w:b/>
          <w:sz w:val="20"/>
          <w:szCs w:val="20"/>
          <w:lang w:val="pl-PL"/>
        </w:rPr>
        <w:t xml:space="preserve">, </w:t>
      </w:r>
      <w:r w:rsidR="00542483" w:rsidRPr="00542483">
        <w:rPr>
          <w:b/>
          <w:sz w:val="20"/>
          <w:szCs w:val="20"/>
          <w:lang w:val="pl-PL"/>
        </w:rPr>
        <w:t xml:space="preserve">Dyrektor Zarządzająca </w:t>
      </w:r>
      <w:proofErr w:type="spellStart"/>
      <w:r w:rsidRPr="00542483">
        <w:rPr>
          <w:b/>
          <w:sz w:val="20"/>
          <w:szCs w:val="20"/>
          <w:lang w:val="pl-PL"/>
        </w:rPr>
        <w:t>Randstad</w:t>
      </w:r>
      <w:proofErr w:type="spellEnd"/>
      <w:r w:rsidR="00542483" w:rsidRPr="00542483">
        <w:rPr>
          <w:b/>
          <w:sz w:val="20"/>
          <w:szCs w:val="20"/>
          <w:lang w:val="pl-PL"/>
        </w:rPr>
        <w:t xml:space="preserve"> Polska</w:t>
      </w:r>
      <w:r>
        <w:rPr>
          <w:sz w:val="20"/>
          <w:szCs w:val="20"/>
          <w:lang w:val="pl-PL"/>
        </w:rPr>
        <w:t>.</w:t>
      </w:r>
    </w:p>
    <w:p w14:paraId="28850C72" w14:textId="6764DD93" w:rsidR="00CD3D51" w:rsidRPr="00CD3D51" w:rsidRDefault="00CD3D51" w:rsidP="00CD3D51">
      <w:pPr>
        <w:pStyle w:val="HeaderAddress"/>
        <w:spacing w:before="240" w:line="276" w:lineRule="auto"/>
        <w:rPr>
          <w:b/>
          <w:color w:val="0070C0"/>
          <w:sz w:val="20"/>
          <w:szCs w:val="20"/>
          <w:lang w:val="pl-PL"/>
        </w:rPr>
      </w:pPr>
      <w:r w:rsidRPr="00CD3D51">
        <w:rPr>
          <w:b/>
          <w:color w:val="0070C0"/>
          <w:sz w:val="20"/>
          <w:szCs w:val="20"/>
          <w:lang w:val="pl-PL"/>
        </w:rPr>
        <w:t>Stabilność finansowa firm – czas na intensyfikację rekrutacji?</w:t>
      </w:r>
    </w:p>
    <w:p w14:paraId="6CE20FE6" w14:textId="77777777" w:rsidR="00CD3D51" w:rsidRDefault="00CD3D51" w:rsidP="00CD3D51">
      <w:pPr>
        <w:pStyle w:val="HeaderAddress"/>
        <w:spacing w:before="240" w:line="276" w:lineRule="auto"/>
        <w:rPr>
          <w:sz w:val="20"/>
          <w:szCs w:val="20"/>
          <w:lang w:val="pl-PL"/>
        </w:rPr>
      </w:pPr>
      <w:r w:rsidRPr="00CD3D51">
        <w:rPr>
          <w:sz w:val="20"/>
          <w:szCs w:val="20"/>
          <w:lang w:val="pl-PL"/>
        </w:rPr>
        <w:lastRenderedPageBreak/>
        <w:t>Pomimo utrzymującej się niepewności makroekonomicznej, ponad trzy czwarte firm w Polsce ocenia swoją sytuację finansową jako stabilną. To wzrost w porównaniu do pierwszej</w:t>
      </w:r>
      <w:r>
        <w:rPr>
          <w:sz w:val="20"/>
          <w:szCs w:val="20"/>
          <w:lang w:val="pl-PL"/>
        </w:rPr>
        <w:t xml:space="preserve"> połowy 2024 roku aż o 18 </w:t>
      </w:r>
      <w:proofErr w:type="spellStart"/>
      <w:r>
        <w:rPr>
          <w:sz w:val="20"/>
          <w:szCs w:val="20"/>
          <w:lang w:val="pl-PL"/>
        </w:rPr>
        <w:t>p.p</w:t>
      </w:r>
      <w:proofErr w:type="spellEnd"/>
      <w:r>
        <w:rPr>
          <w:sz w:val="20"/>
          <w:szCs w:val="20"/>
          <w:lang w:val="pl-PL"/>
        </w:rPr>
        <w:t xml:space="preserve">. </w:t>
      </w:r>
    </w:p>
    <w:p w14:paraId="195DD4E7" w14:textId="06F179E3" w:rsidR="00CD3D51" w:rsidRPr="00CD3D51" w:rsidRDefault="00CD3D51" w:rsidP="00CD3D51">
      <w:pPr>
        <w:pStyle w:val="HeaderAddress"/>
        <w:spacing w:before="240" w:line="276" w:lineRule="auto"/>
        <w:rPr>
          <w:sz w:val="20"/>
          <w:szCs w:val="20"/>
          <w:lang w:val="pl-PL"/>
        </w:rPr>
      </w:pPr>
      <w:r w:rsidRPr="00CD3D51">
        <w:rPr>
          <w:sz w:val="20"/>
          <w:szCs w:val="20"/>
          <w:lang w:val="pl-PL"/>
        </w:rPr>
        <w:t>65 proc. przedsiębiorstw określa swoją kondycję finansową jako dobrą, a kolejne 13 proc. jako bardzo dobrą. Najlepiej sytuację oceniają duże organizacje – 91 proc. firm zatru</w:t>
      </w:r>
      <w:r>
        <w:rPr>
          <w:sz w:val="20"/>
          <w:szCs w:val="20"/>
          <w:lang w:val="pl-PL"/>
        </w:rPr>
        <w:t>dniających po</w:t>
      </w:r>
      <w:r w:rsidRPr="00CD3D51">
        <w:rPr>
          <w:sz w:val="20"/>
          <w:szCs w:val="20"/>
          <w:lang w:val="pl-PL"/>
        </w:rPr>
        <w:t>wyżej 250 osób deklaruje dobrą lub bardzo dobrą sytuację finansową. W przypadku podmiotów zatrudniających do 50 pracowników, odsetek ten jest również w</w:t>
      </w:r>
      <w:r>
        <w:rPr>
          <w:sz w:val="20"/>
          <w:szCs w:val="20"/>
          <w:lang w:val="pl-PL"/>
        </w:rPr>
        <w:t>ysoki i wynosi 72 proc. Najwięks</w:t>
      </w:r>
      <w:r w:rsidRPr="00CD3D51">
        <w:rPr>
          <w:sz w:val="20"/>
          <w:szCs w:val="20"/>
          <w:lang w:val="pl-PL"/>
        </w:rPr>
        <w:t>zy optymizm deklarują pracodawcy z sektora finansów i ubezpieczeń, IT (odpowiednio po 85 proc. z nich ocenia swoją sytuację finansową jako dobrą i bar</w:t>
      </w:r>
      <w:r>
        <w:rPr>
          <w:sz w:val="20"/>
          <w:szCs w:val="20"/>
          <w:lang w:val="pl-PL"/>
        </w:rPr>
        <w:t>dzo dobrą) i handlu (78 proc.).</w:t>
      </w:r>
      <w:r w:rsidRPr="00CD3D51">
        <w:rPr>
          <w:sz w:val="20"/>
          <w:szCs w:val="20"/>
          <w:lang w:val="pl-PL"/>
        </w:rPr>
        <w:t xml:space="preserve"> </w:t>
      </w:r>
    </w:p>
    <w:p w14:paraId="73FF2016" w14:textId="77777777" w:rsidR="00197DA6" w:rsidRDefault="00CD3D51" w:rsidP="00197DA6">
      <w:pPr>
        <w:pStyle w:val="HeaderAddress"/>
        <w:spacing w:before="240" w:line="276" w:lineRule="auto"/>
        <w:rPr>
          <w:sz w:val="20"/>
          <w:szCs w:val="20"/>
          <w:lang w:val="pl-PL"/>
        </w:rPr>
      </w:pPr>
      <w:r w:rsidRPr="00CD3D51">
        <w:rPr>
          <w:sz w:val="20"/>
          <w:szCs w:val="20"/>
          <w:lang w:val="pl-PL"/>
        </w:rPr>
        <w:t xml:space="preserve">Jednocześnie dane wskazują na zmianę w podejściu do polityki wynagrodzeń. Po dwóch latach silnych wzrostów płac, napędzanych m.in. podwyżkami płacy minimalnej oraz presją inflacyjną, w drugiej połowie 2025 roku firmy planują wstrzemięźliwość w </w:t>
      </w:r>
      <w:r>
        <w:rPr>
          <w:sz w:val="20"/>
          <w:szCs w:val="20"/>
          <w:lang w:val="pl-PL"/>
        </w:rPr>
        <w:t>tym zakresie. Aż 84 proc. praco</w:t>
      </w:r>
      <w:r w:rsidRPr="00CD3D51">
        <w:rPr>
          <w:sz w:val="20"/>
          <w:szCs w:val="20"/>
          <w:lang w:val="pl-PL"/>
        </w:rPr>
        <w:t>dawców nie przewiduje zmian wysokości wynagrodzeń, a tylko 6 proc. zamierza je podnieść – to spadek o 28 punktów procentowych względem analogicz</w:t>
      </w:r>
      <w:r>
        <w:rPr>
          <w:sz w:val="20"/>
          <w:szCs w:val="20"/>
          <w:lang w:val="pl-PL"/>
        </w:rPr>
        <w:t xml:space="preserve">nego okresu w 2024 roku. </w:t>
      </w:r>
      <w:r w:rsidR="00385B56">
        <w:rPr>
          <w:sz w:val="20"/>
          <w:szCs w:val="20"/>
          <w:lang w:val="pl-PL"/>
        </w:rPr>
        <w:t xml:space="preserve">Warto jednak podkreślić, że nie występują obecnie zewnętrzne czynniki będące motorem podwyżek śródrocznych – płaca minimalna, zgodnie z przepisami, wzrosła w tym roku tylko raz, a dynamika wynagrodzeń jest wyraźnie niższa niż w poprzednich latach. </w:t>
      </w:r>
      <w:r>
        <w:rPr>
          <w:sz w:val="20"/>
          <w:szCs w:val="20"/>
          <w:lang w:val="pl-PL"/>
        </w:rPr>
        <w:t>W przy</w:t>
      </w:r>
      <w:r w:rsidRPr="00CD3D51">
        <w:rPr>
          <w:sz w:val="20"/>
          <w:szCs w:val="20"/>
          <w:lang w:val="pl-PL"/>
        </w:rPr>
        <w:t xml:space="preserve">padku pracodawców rozważających podwyżki </w:t>
      </w:r>
      <w:r w:rsidR="00385B56">
        <w:rPr>
          <w:sz w:val="20"/>
          <w:szCs w:val="20"/>
          <w:lang w:val="pl-PL"/>
        </w:rPr>
        <w:t>pensji</w:t>
      </w:r>
      <w:r w:rsidRPr="00CD3D51">
        <w:rPr>
          <w:sz w:val="20"/>
          <w:szCs w:val="20"/>
          <w:lang w:val="pl-PL"/>
        </w:rPr>
        <w:t>, przeważa deklaracja wzrostu płacy o 2</w:t>
      </w:r>
      <w:r w:rsidR="00385B56">
        <w:rPr>
          <w:sz w:val="20"/>
          <w:szCs w:val="20"/>
          <w:lang w:val="pl-PL"/>
        </w:rPr>
        <w:t>% (deklaruje tak 27 proc. badanych z tej grupy)</w:t>
      </w:r>
      <w:r w:rsidRPr="00CD3D51">
        <w:rPr>
          <w:sz w:val="20"/>
          <w:szCs w:val="20"/>
          <w:lang w:val="pl-PL"/>
        </w:rPr>
        <w:t xml:space="preserve">, </w:t>
      </w:r>
      <w:r w:rsidR="00385B56">
        <w:rPr>
          <w:sz w:val="20"/>
          <w:szCs w:val="20"/>
          <w:lang w:val="pl-PL"/>
        </w:rPr>
        <w:t>18</w:t>
      </w:r>
      <w:r w:rsidRPr="00CD3D51">
        <w:rPr>
          <w:sz w:val="20"/>
          <w:szCs w:val="20"/>
          <w:lang w:val="pl-PL"/>
        </w:rPr>
        <w:t xml:space="preserve"> proc. firm planuje podwyżkę o 2–4</w:t>
      </w:r>
      <w:r w:rsidR="00385B56">
        <w:rPr>
          <w:sz w:val="20"/>
          <w:szCs w:val="20"/>
          <w:lang w:val="pl-PL"/>
        </w:rPr>
        <w:t>%, a 32 proc. przedsiębiorstw – 4-7%</w:t>
      </w:r>
      <w:r w:rsidRPr="00CD3D51">
        <w:rPr>
          <w:sz w:val="20"/>
          <w:szCs w:val="20"/>
          <w:lang w:val="pl-PL"/>
        </w:rPr>
        <w:t>.</w:t>
      </w:r>
    </w:p>
    <w:p w14:paraId="1BC1DE3E" w14:textId="1D7EEC6C" w:rsidR="00197DA6" w:rsidRPr="00197DA6" w:rsidRDefault="00197DA6" w:rsidP="00197DA6">
      <w:pPr>
        <w:pStyle w:val="HeaderAddress"/>
        <w:spacing w:before="240" w:line="276" w:lineRule="auto"/>
        <w:rPr>
          <w:sz w:val="20"/>
          <w:szCs w:val="20"/>
          <w:lang w:val="pl-PL"/>
        </w:rPr>
      </w:pPr>
      <w:r w:rsidRPr="007C3C1D">
        <w:rPr>
          <w:rFonts w:eastAsia="Arial"/>
          <w:i/>
          <w:iCs/>
          <w:sz w:val="20"/>
          <w:szCs w:val="20"/>
          <w:lang w:val="pl-PL"/>
        </w:rPr>
        <w:t>– 6 proc. firm planujących podwyżki w drugiej połowie roku to najniższy odsetek w historii badania. Nic w tym dziwnego. Polski biznes pozostaje w trybie oczekiwania na efekty długo wyczekiwanego ożywienia gospodarczego. W takim okresie zatrudnienie jest dość stabilne, ale raczej maleje niż rośnie: kwiecień 2025 roku był 17. miesiącem z rzędu, gdy liczba pracowników sektora przedsiębiorstw kurczyła się. Wskaźnik wakatów w I kw. 2025 roku pozostawał na niskim poziomie 0,82%, o 0,07 pkt proc. niższym niż w analogicznym kwartale ubiegłego roku. Przy niskiej liczbie wakatów i malejącym, choć powoli, zatrudnieniu tendencje do wzrostu wynagrodzeń powinny ulegać osłabieniu. Jeśli sytuacja makroekonomiczna się nie zmieni, to realne wzrosty płac w sektorze przedsiębiorstw liczone rok do roku spadną poniżej notowanych ostatnio wskaźników rzędu 3-5% –</w:t>
      </w:r>
      <w:r w:rsidRPr="00346A1B">
        <w:rPr>
          <w:rFonts w:eastAsia="Arial"/>
          <w:sz w:val="20"/>
          <w:szCs w:val="20"/>
          <w:lang w:val="pl-PL"/>
        </w:rPr>
        <w:t xml:space="preserve"> </w:t>
      </w:r>
      <w:r>
        <w:rPr>
          <w:rFonts w:eastAsia="Arial"/>
          <w:b/>
          <w:bCs/>
          <w:sz w:val="20"/>
          <w:szCs w:val="20"/>
          <w:lang w:val="pl-PL"/>
        </w:rPr>
        <w:t>ocenia</w:t>
      </w:r>
      <w:r w:rsidRPr="00346A1B">
        <w:rPr>
          <w:rFonts w:eastAsia="Arial"/>
          <w:sz w:val="20"/>
          <w:szCs w:val="20"/>
          <w:lang w:val="pl-PL"/>
        </w:rPr>
        <w:t xml:space="preserve"> </w:t>
      </w:r>
      <w:r w:rsidRPr="008C4DA6">
        <w:rPr>
          <w:rFonts w:eastAsia="Arial"/>
          <w:b/>
          <w:bCs/>
          <w:sz w:val="20"/>
          <w:szCs w:val="20"/>
          <w:lang w:val="pl-PL"/>
        </w:rPr>
        <w:t xml:space="preserve">Łukasz Komuda, ekspert rynku pracy Fundacji Inicjatyw Społeczno-Ekonomicznych i współautor </w:t>
      </w:r>
      <w:proofErr w:type="spellStart"/>
      <w:r w:rsidRPr="008C4DA6">
        <w:rPr>
          <w:rFonts w:eastAsia="Arial"/>
          <w:b/>
          <w:bCs/>
          <w:sz w:val="20"/>
          <w:szCs w:val="20"/>
          <w:lang w:val="pl-PL"/>
        </w:rPr>
        <w:t>podcastu</w:t>
      </w:r>
      <w:proofErr w:type="spellEnd"/>
      <w:r w:rsidRPr="008C4DA6">
        <w:rPr>
          <w:rFonts w:eastAsia="Arial"/>
          <w:b/>
          <w:bCs/>
          <w:sz w:val="20"/>
          <w:szCs w:val="20"/>
          <w:lang w:val="pl-PL"/>
        </w:rPr>
        <w:t xml:space="preserve"> „Ekonomia i cała reszta”.</w:t>
      </w:r>
    </w:p>
    <w:p w14:paraId="2417FDA7" w14:textId="24C103F7" w:rsidR="00CD3D51" w:rsidRPr="00CD3D51" w:rsidRDefault="00CD3D51" w:rsidP="00CD3D51">
      <w:pPr>
        <w:pStyle w:val="HeaderAddress"/>
        <w:spacing w:before="240" w:line="276" w:lineRule="auto"/>
        <w:rPr>
          <w:b/>
          <w:sz w:val="20"/>
          <w:szCs w:val="20"/>
          <w:lang w:val="pl-PL"/>
        </w:rPr>
      </w:pPr>
      <w:r w:rsidRPr="00CD3D51">
        <w:rPr>
          <w:b/>
          <w:color w:val="0070C0"/>
          <w:sz w:val="20"/>
          <w:szCs w:val="20"/>
          <w:lang w:val="pl-PL"/>
        </w:rPr>
        <w:t>Zatrudnienie pod kontrolą w warunkach niepewności</w:t>
      </w:r>
    </w:p>
    <w:p w14:paraId="3B33C9B4" w14:textId="7120480C" w:rsidR="00CD3D51" w:rsidRPr="00CD3D51" w:rsidRDefault="00CD3D51">
      <w:pPr>
        <w:pStyle w:val="HeaderAddress"/>
        <w:spacing w:before="240" w:line="276" w:lineRule="auto"/>
        <w:rPr>
          <w:sz w:val="20"/>
          <w:szCs w:val="20"/>
          <w:lang w:val="pl-PL"/>
        </w:rPr>
      </w:pPr>
      <w:r w:rsidRPr="00CD3D51">
        <w:rPr>
          <w:sz w:val="20"/>
          <w:szCs w:val="20"/>
          <w:lang w:val="pl-PL"/>
        </w:rPr>
        <w:t xml:space="preserve">W drugiej połowie 2025 roku prawie 20 proc. firm w Polsce zamierza zwiększyć zatrudnienie, a 74 proc. utrzymać liczbę pracowników na obecnym poziomie. Taka </w:t>
      </w:r>
      <w:r w:rsidR="00385B56">
        <w:rPr>
          <w:sz w:val="20"/>
          <w:szCs w:val="20"/>
          <w:lang w:val="pl-PL"/>
        </w:rPr>
        <w:t>sytuacja</w:t>
      </w:r>
      <w:r w:rsidR="00385B56" w:rsidRPr="00CD3D51">
        <w:rPr>
          <w:sz w:val="20"/>
          <w:szCs w:val="20"/>
          <w:lang w:val="pl-PL"/>
        </w:rPr>
        <w:t xml:space="preserve"> </w:t>
      </w:r>
      <w:r w:rsidRPr="00CD3D51">
        <w:rPr>
          <w:sz w:val="20"/>
          <w:szCs w:val="20"/>
          <w:lang w:val="pl-PL"/>
        </w:rPr>
        <w:t>może prowadzić do silniejszej konkurencji o specjalistów w najb</w:t>
      </w:r>
      <w:r>
        <w:rPr>
          <w:sz w:val="20"/>
          <w:szCs w:val="20"/>
          <w:lang w:val="pl-PL"/>
        </w:rPr>
        <w:t>ardziej pożądanych dziedzinach</w:t>
      </w:r>
      <w:r w:rsidR="00962A6C">
        <w:rPr>
          <w:sz w:val="20"/>
          <w:szCs w:val="20"/>
          <w:lang w:val="pl-PL"/>
        </w:rPr>
        <w:t>. Część firm w lepszej sytuacji finansowej, w tym duże przedsiębiorstwa, w związku z rozwojem niektórych obszarów, mogą mieć trudność z pozyskaniem fachowców</w:t>
      </w:r>
      <w:r>
        <w:rPr>
          <w:sz w:val="20"/>
          <w:szCs w:val="20"/>
          <w:lang w:val="pl-PL"/>
        </w:rPr>
        <w:t>.</w:t>
      </w:r>
      <w:r w:rsidR="00962A6C">
        <w:rPr>
          <w:sz w:val="20"/>
          <w:szCs w:val="20"/>
          <w:lang w:val="pl-PL"/>
        </w:rPr>
        <w:t xml:space="preserve"> Widoczne są bowiem sektory i segmenty rynku, które plany rekrutacyjne mają szerzej zakrojone. Wyraźniejszy </w:t>
      </w:r>
      <w:r w:rsidRPr="00CD3D51">
        <w:rPr>
          <w:sz w:val="20"/>
          <w:szCs w:val="20"/>
          <w:lang w:val="pl-PL"/>
        </w:rPr>
        <w:t>wzrost zatrudnienia planowany jest w sektorze przemysłowym (23 proc. firm planuje nowe rekrutacje), handlowym (21 proc.) oraz budowlanym (2</w:t>
      </w:r>
      <w:r>
        <w:rPr>
          <w:sz w:val="20"/>
          <w:szCs w:val="20"/>
          <w:lang w:val="pl-PL"/>
        </w:rPr>
        <w:t>0 proc.). Wśród dużych przedsię</w:t>
      </w:r>
      <w:r w:rsidRPr="00CD3D51">
        <w:rPr>
          <w:sz w:val="20"/>
          <w:szCs w:val="20"/>
          <w:lang w:val="pl-PL"/>
        </w:rPr>
        <w:t>biorstw, zatrudniających ponad 250 osób, aż 45 proc. z nich planuje zwiększen</w:t>
      </w:r>
      <w:r>
        <w:rPr>
          <w:sz w:val="20"/>
          <w:szCs w:val="20"/>
          <w:lang w:val="pl-PL"/>
        </w:rPr>
        <w:t xml:space="preserve">ie zatrudnienia. </w:t>
      </w:r>
    </w:p>
    <w:p w14:paraId="588BC8A8" w14:textId="0DF38BCD" w:rsidR="00CD3D51" w:rsidRPr="00CD3D51" w:rsidRDefault="00CD3D51" w:rsidP="00CD3D51">
      <w:pPr>
        <w:pStyle w:val="HeaderAddress"/>
        <w:spacing w:before="240" w:line="276" w:lineRule="auto"/>
        <w:rPr>
          <w:sz w:val="20"/>
          <w:szCs w:val="20"/>
          <w:lang w:val="pl-PL"/>
        </w:rPr>
      </w:pPr>
      <w:r w:rsidRPr="00CD3D51">
        <w:rPr>
          <w:sz w:val="20"/>
          <w:szCs w:val="20"/>
          <w:lang w:val="pl-PL"/>
        </w:rPr>
        <w:t xml:space="preserve">– </w:t>
      </w:r>
      <w:r w:rsidRPr="00CD3D51">
        <w:rPr>
          <w:i/>
          <w:sz w:val="20"/>
          <w:szCs w:val="20"/>
          <w:lang w:val="pl-PL"/>
        </w:rPr>
        <w:t xml:space="preserve">Ostrożność pracodawców w planowaniu zatrudnienia przy jednoczesnej dobrej ocenie sytuacji finansowej to sygnał, że firmy wciąż poruszają się w otoczeniu dużej niepewności. </w:t>
      </w:r>
      <w:r w:rsidR="00542483">
        <w:rPr>
          <w:i/>
          <w:sz w:val="20"/>
          <w:szCs w:val="20"/>
          <w:lang w:val="pl-PL"/>
        </w:rPr>
        <w:t>Wśród firm uczestniczących w badaniu d</w:t>
      </w:r>
      <w:r w:rsidRPr="00CD3D51">
        <w:rPr>
          <w:i/>
          <w:sz w:val="20"/>
          <w:szCs w:val="20"/>
          <w:lang w:val="pl-PL"/>
        </w:rPr>
        <w:t xml:space="preserve">ostrzegamy mniejsze zainteresowanie rekrutacją </w:t>
      </w:r>
      <w:r w:rsidRPr="00CD3D51">
        <w:rPr>
          <w:i/>
          <w:sz w:val="20"/>
          <w:szCs w:val="20"/>
          <w:lang w:val="pl-PL"/>
        </w:rPr>
        <w:lastRenderedPageBreak/>
        <w:t>pracowników t</w:t>
      </w:r>
      <w:r w:rsidR="00542483">
        <w:rPr>
          <w:i/>
          <w:sz w:val="20"/>
          <w:szCs w:val="20"/>
          <w:lang w:val="pl-PL"/>
        </w:rPr>
        <w:t xml:space="preserve">ymczasowych przed okresem letnim </w:t>
      </w:r>
      <w:r w:rsidRPr="00CD3D51">
        <w:rPr>
          <w:i/>
          <w:sz w:val="20"/>
          <w:szCs w:val="20"/>
          <w:lang w:val="pl-PL"/>
        </w:rPr>
        <w:t>– spadła ona o jedną trzecią w porównaniu do analogicznego okresu 2024 roku. Może to wynikać ze spowolnienia gospodarczego i ograniczonej liczby zamówień w nadchodzącym kwartale, szczególnie w mniejszych firmach. Jednocześnie w dużych sektorach gospodarki, takich jak handel, budownictwo czy usługi, przedsiębiorcy chętniej decydują się na zatrudnienie sezonowe, najczęściej w formie staży, praktyk, a także zastępstw podczas urlopów. Szczególnie w usługach, związanych z turystyką i gastronomią, zatrudnienie tymczasowe pozostaje ważnym elementem.</w:t>
      </w:r>
      <w:r w:rsidRPr="00CD3D51">
        <w:rPr>
          <w:sz w:val="20"/>
          <w:szCs w:val="20"/>
          <w:lang w:val="pl-PL"/>
        </w:rPr>
        <w:t xml:space="preserve"> </w:t>
      </w:r>
      <w:r w:rsidR="00F34119">
        <w:rPr>
          <w:i/>
          <w:sz w:val="20"/>
          <w:szCs w:val="20"/>
          <w:lang w:val="pl-PL"/>
        </w:rPr>
        <w:t>To ostrożniejsze</w:t>
      </w:r>
      <w:r w:rsidR="00F34119" w:rsidRPr="00CD3D51">
        <w:rPr>
          <w:i/>
          <w:sz w:val="20"/>
          <w:szCs w:val="20"/>
          <w:lang w:val="pl-PL"/>
        </w:rPr>
        <w:t xml:space="preserve"> </w:t>
      </w:r>
      <w:r w:rsidRPr="00CD3D51">
        <w:rPr>
          <w:i/>
          <w:sz w:val="20"/>
          <w:szCs w:val="20"/>
          <w:lang w:val="pl-PL"/>
        </w:rPr>
        <w:t xml:space="preserve">podejście </w:t>
      </w:r>
      <w:r w:rsidR="00F34119">
        <w:rPr>
          <w:i/>
          <w:sz w:val="20"/>
          <w:szCs w:val="20"/>
          <w:lang w:val="pl-PL"/>
        </w:rPr>
        <w:t xml:space="preserve">widoczne we wszystkich działaniach rekrutacyjnych </w:t>
      </w:r>
      <w:r w:rsidRPr="00CD3D51">
        <w:rPr>
          <w:i/>
          <w:sz w:val="20"/>
          <w:szCs w:val="20"/>
          <w:lang w:val="pl-PL"/>
        </w:rPr>
        <w:t xml:space="preserve">wskazuje na próbę zachowania równowagi między potrzebą rozwoju a koniecznością ograniczania ryzyka. Co ważne, fakt, że 18 proc. firm planuje wzrost zatrudnienia, a aż 65 proc. dobrze ocenia swoją sytuację finansową, sugeruje, że przedsiębiorcy są przygotowani na odbicie gospodarcze, ale </w:t>
      </w:r>
      <w:r w:rsidR="00F34119">
        <w:rPr>
          <w:i/>
          <w:sz w:val="20"/>
          <w:szCs w:val="20"/>
          <w:lang w:val="pl-PL"/>
        </w:rPr>
        <w:t xml:space="preserve">czekają wciąż na wyraźniejsze </w:t>
      </w:r>
      <w:r w:rsidRPr="00CD3D51">
        <w:rPr>
          <w:i/>
          <w:sz w:val="20"/>
          <w:szCs w:val="20"/>
          <w:lang w:val="pl-PL"/>
        </w:rPr>
        <w:t>sygnały poprawy</w:t>
      </w:r>
      <w:r w:rsidR="00F34119">
        <w:rPr>
          <w:i/>
          <w:sz w:val="20"/>
          <w:szCs w:val="20"/>
          <w:lang w:val="pl-PL"/>
        </w:rPr>
        <w:t xml:space="preserve"> koniunktury</w:t>
      </w:r>
      <w:r w:rsidRPr="00CD3D51">
        <w:rPr>
          <w:i/>
          <w:sz w:val="20"/>
          <w:szCs w:val="20"/>
          <w:lang w:val="pl-PL"/>
        </w:rPr>
        <w:t xml:space="preserve">. </w:t>
      </w:r>
      <w:r w:rsidR="00F34119">
        <w:rPr>
          <w:i/>
          <w:sz w:val="20"/>
          <w:szCs w:val="20"/>
          <w:lang w:val="pl-PL"/>
        </w:rPr>
        <w:t>Warto jednak pamiętać, że ta potencjalna poprawa niesie kilka wyzwań dla pracodawców – wzrost rotacji w zespołach i narastające trudności w zrekrutowaniu pracowników o kompetencjach odpowiadających idealnie potrzebom. To sprawia, że f</w:t>
      </w:r>
      <w:r w:rsidRPr="00CD3D51">
        <w:rPr>
          <w:i/>
          <w:sz w:val="20"/>
          <w:szCs w:val="20"/>
          <w:lang w:val="pl-PL"/>
        </w:rPr>
        <w:t>irmy są gotowe na kompromisy rekrutacyjne</w:t>
      </w:r>
      <w:r w:rsidR="00F34119">
        <w:rPr>
          <w:i/>
          <w:sz w:val="20"/>
          <w:szCs w:val="20"/>
          <w:lang w:val="pl-PL"/>
        </w:rPr>
        <w:t xml:space="preserve"> </w:t>
      </w:r>
      <w:r>
        <w:rPr>
          <w:sz w:val="20"/>
          <w:szCs w:val="20"/>
          <w:lang w:val="pl-PL"/>
        </w:rPr>
        <w:t xml:space="preserve">– komentuje </w:t>
      </w:r>
      <w:r w:rsidR="00542483">
        <w:rPr>
          <w:b/>
          <w:sz w:val="20"/>
          <w:szCs w:val="20"/>
          <w:lang w:val="pl-PL"/>
        </w:rPr>
        <w:t xml:space="preserve">Marzena </w:t>
      </w:r>
      <w:proofErr w:type="spellStart"/>
      <w:r w:rsidR="00542483">
        <w:rPr>
          <w:b/>
          <w:sz w:val="20"/>
          <w:szCs w:val="20"/>
          <w:lang w:val="pl-PL"/>
        </w:rPr>
        <w:t>Milinkiewicz</w:t>
      </w:r>
      <w:proofErr w:type="spellEnd"/>
      <w:r w:rsidR="00542483" w:rsidRPr="00CD3D51">
        <w:rPr>
          <w:b/>
          <w:sz w:val="20"/>
          <w:szCs w:val="20"/>
          <w:lang w:val="pl-PL"/>
        </w:rPr>
        <w:t xml:space="preserve">, </w:t>
      </w:r>
      <w:r w:rsidR="00542483" w:rsidRPr="00542483">
        <w:rPr>
          <w:b/>
          <w:sz w:val="20"/>
          <w:szCs w:val="20"/>
          <w:lang w:val="pl-PL"/>
        </w:rPr>
        <w:t xml:space="preserve">Dyrektor Zarządzająca </w:t>
      </w:r>
      <w:proofErr w:type="spellStart"/>
      <w:r w:rsidR="00542483" w:rsidRPr="00542483">
        <w:rPr>
          <w:b/>
          <w:sz w:val="20"/>
          <w:szCs w:val="20"/>
          <w:lang w:val="pl-PL"/>
        </w:rPr>
        <w:t>Randstad</w:t>
      </w:r>
      <w:proofErr w:type="spellEnd"/>
      <w:r w:rsidR="00542483" w:rsidRPr="00542483">
        <w:rPr>
          <w:b/>
          <w:sz w:val="20"/>
          <w:szCs w:val="20"/>
          <w:lang w:val="pl-PL"/>
        </w:rPr>
        <w:t xml:space="preserve"> Polska</w:t>
      </w:r>
      <w:r w:rsidR="00542483">
        <w:rPr>
          <w:sz w:val="20"/>
          <w:szCs w:val="20"/>
          <w:lang w:val="pl-PL"/>
        </w:rPr>
        <w:t>.</w:t>
      </w:r>
    </w:p>
    <w:p w14:paraId="0F35FC92" w14:textId="266B9595" w:rsidR="00CD3D51" w:rsidRPr="00CD3D51" w:rsidRDefault="00CD3D51" w:rsidP="00CD3D51">
      <w:pPr>
        <w:pStyle w:val="HeaderAddress"/>
        <w:spacing w:before="240" w:line="276" w:lineRule="auto"/>
        <w:rPr>
          <w:b/>
          <w:color w:val="0070C0"/>
          <w:sz w:val="20"/>
          <w:szCs w:val="20"/>
          <w:lang w:val="pl-PL"/>
        </w:rPr>
      </w:pPr>
      <w:r w:rsidRPr="00CD3D51">
        <w:rPr>
          <w:b/>
          <w:color w:val="0070C0"/>
          <w:sz w:val="20"/>
          <w:szCs w:val="20"/>
          <w:lang w:val="pl-PL"/>
        </w:rPr>
        <w:t xml:space="preserve">Niedobór talentów a większa elastyczność </w:t>
      </w:r>
      <w:r w:rsidR="00F34119">
        <w:rPr>
          <w:b/>
          <w:color w:val="0070C0"/>
          <w:sz w:val="20"/>
          <w:szCs w:val="20"/>
          <w:lang w:val="pl-PL"/>
        </w:rPr>
        <w:t xml:space="preserve">pracodawców </w:t>
      </w:r>
      <w:r w:rsidRPr="00CD3D51">
        <w:rPr>
          <w:b/>
          <w:color w:val="0070C0"/>
          <w:sz w:val="20"/>
          <w:szCs w:val="20"/>
          <w:lang w:val="pl-PL"/>
        </w:rPr>
        <w:t>i zmian</w:t>
      </w:r>
      <w:r w:rsidR="00F34119">
        <w:rPr>
          <w:b/>
          <w:color w:val="0070C0"/>
          <w:sz w:val="20"/>
          <w:szCs w:val="20"/>
          <w:lang w:val="pl-PL"/>
        </w:rPr>
        <w:t>y</w:t>
      </w:r>
      <w:r w:rsidRPr="00CD3D51">
        <w:rPr>
          <w:b/>
          <w:color w:val="0070C0"/>
          <w:sz w:val="20"/>
          <w:szCs w:val="20"/>
          <w:lang w:val="pl-PL"/>
        </w:rPr>
        <w:t xml:space="preserve"> </w:t>
      </w:r>
      <w:r w:rsidR="00F34119">
        <w:rPr>
          <w:b/>
          <w:color w:val="0070C0"/>
          <w:sz w:val="20"/>
          <w:szCs w:val="20"/>
          <w:lang w:val="pl-PL"/>
        </w:rPr>
        <w:t xml:space="preserve">w </w:t>
      </w:r>
      <w:r w:rsidRPr="00CD3D51">
        <w:rPr>
          <w:b/>
          <w:color w:val="0070C0"/>
          <w:sz w:val="20"/>
          <w:szCs w:val="20"/>
          <w:lang w:val="pl-PL"/>
        </w:rPr>
        <w:t>strategii zatrudnienia</w:t>
      </w:r>
    </w:p>
    <w:p w14:paraId="6CA670A0" w14:textId="2A051EA7" w:rsidR="00CD3D51" w:rsidRPr="00CD3D51" w:rsidRDefault="00CD3D51" w:rsidP="00CD3D51">
      <w:pPr>
        <w:pStyle w:val="HeaderAddress"/>
        <w:spacing w:before="240" w:line="276" w:lineRule="auto"/>
        <w:rPr>
          <w:sz w:val="20"/>
          <w:szCs w:val="20"/>
          <w:lang w:val="pl-PL"/>
        </w:rPr>
      </w:pPr>
      <w:r w:rsidRPr="00CD3D51">
        <w:rPr>
          <w:sz w:val="20"/>
          <w:szCs w:val="20"/>
          <w:lang w:val="pl-PL"/>
        </w:rPr>
        <w:t>W ostatnim półroczu, z powodu niepewności makroekonomicznej, geopolitycznej oraz niższego poziomu rotacji pracowników, liczba działań rekrutacyjnych zmalała i spadła prawie o połowę, z 73 proc. firm rekrutujących rok temu do 39 proc. w pierwszy</w:t>
      </w:r>
      <w:r>
        <w:rPr>
          <w:sz w:val="20"/>
          <w:szCs w:val="20"/>
          <w:lang w:val="pl-PL"/>
        </w:rPr>
        <w:t xml:space="preserve">m półroczu 2025. </w:t>
      </w:r>
      <w:r w:rsidRPr="00CD3D51">
        <w:rPr>
          <w:sz w:val="20"/>
          <w:szCs w:val="20"/>
          <w:lang w:val="pl-PL"/>
        </w:rPr>
        <w:t>W tym czasie 25 proc. firm obsadzało istniejące wakaty, 21 proc. prowadziło rekrutacje na nowe stanowiska, a 3 proc. sz</w:t>
      </w:r>
      <w:r>
        <w:rPr>
          <w:sz w:val="20"/>
          <w:szCs w:val="20"/>
          <w:lang w:val="pl-PL"/>
        </w:rPr>
        <w:t xml:space="preserve">ukało zastępstw. </w:t>
      </w:r>
    </w:p>
    <w:p w14:paraId="33A34E9B" w14:textId="56744B0D" w:rsidR="00CD3D51" w:rsidRPr="00CD3D51" w:rsidRDefault="00CD3D51" w:rsidP="00CD3D51">
      <w:pPr>
        <w:pStyle w:val="HeaderAddress"/>
        <w:spacing w:before="240" w:line="276" w:lineRule="auto"/>
        <w:rPr>
          <w:sz w:val="20"/>
          <w:szCs w:val="20"/>
          <w:lang w:val="pl-PL"/>
        </w:rPr>
      </w:pPr>
      <w:r w:rsidRPr="00CD3D51">
        <w:rPr>
          <w:sz w:val="20"/>
          <w:szCs w:val="20"/>
          <w:lang w:val="pl-PL"/>
        </w:rPr>
        <w:t>Najbardziej aktywne były duże przedsiębiorstwa – aż 75 proc</w:t>
      </w:r>
      <w:r>
        <w:rPr>
          <w:sz w:val="20"/>
          <w:szCs w:val="20"/>
          <w:lang w:val="pl-PL"/>
        </w:rPr>
        <w:t>. z nich zatrudniało nowych pra</w:t>
      </w:r>
      <w:r w:rsidRPr="00CD3D51">
        <w:rPr>
          <w:sz w:val="20"/>
          <w:szCs w:val="20"/>
          <w:lang w:val="pl-PL"/>
        </w:rPr>
        <w:t>cowników. Intensywność rekrutacji była szczególnie widoczna w sektorach: przemysłu (46 proc.), handlu (45 proc.), logistyki (45 proc.) i budownict</w:t>
      </w:r>
      <w:r>
        <w:rPr>
          <w:sz w:val="20"/>
          <w:szCs w:val="20"/>
          <w:lang w:val="pl-PL"/>
        </w:rPr>
        <w:t>wa (44 proc.).</w:t>
      </w:r>
    </w:p>
    <w:p w14:paraId="22F1E652" w14:textId="537F1D8A" w:rsidR="00FF627C" w:rsidRDefault="00CD3D51" w:rsidP="00CD3D51">
      <w:pPr>
        <w:pStyle w:val="HeaderAddress"/>
        <w:spacing w:before="240" w:line="276" w:lineRule="auto"/>
        <w:rPr>
          <w:sz w:val="20"/>
          <w:szCs w:val="20"/>
          <w:lang w:val="pl-PL"/>
        </w:rPr>
      </w:pPr>
      <w:r w:rsidRPr="00CD3D51">
        <w:rPr>
          <w:sz w:val="20"/>
          <w:szCs w:val="20"/>
          <w:lang w:val="pl-PL"/>
        </w:rPr>
        <w:t>Obecnie 7 na 10 firm z łatwością pozyskuje pracowników, podczas gdy rok temu było to tylko 4 na 10 przedsiębiorstw. W efekcie prowadzonych rekrutacji 6</w:t>
      </w:r>
      <w:r>
        <w:rPr>
          <w:sz w:val="20"/>
          <w:szCs w:val="20"/>
          <w:lang w:val="pl-PL"/>
        </w:rPr>
        <w:t>9 proc. pracodawców znalazło od</w:t>
      </w:r>
      <w:r w:rsidRPr="00CD3D51">
        <w:rPr>
          <w:sz w:val="20"/>
          <w:szCs w:val="20"/>
          <w:lang w:val="pl-PL"/>
        </w:rPr>
        <w:t>powiednią liczbę kandydatów o właściwych kwalifikacjach</w:t>
      </w:r>
      <w:r w:rsidR="00FF627C">
        <w:rPr>
          <w:sz w:val="20"/>
          <w:szCs w:val="20"/>
          <w:lang w:val="pl-PL"/>
        </w:rPr>
        <w:t>.</w:t>
      </w:r>
      <w:r w:rsidRPr="00CD3D51">
        <w:rPr>
          <w:sz w:val="20"/>
          <w:szCs w:val="20"/>
          <w:lang w:val="pl-PL"/>
        </w:rPr>
        <w:t xml:space="preserve"> </w:t>
      </w:r>
      <w:r w:rsidR="00FF627C">
        <w:rPr>
          <w:sz w:val="20"/>
          <w:szCs w:val="20"/>
          <w:lang w:val="pl-PL"/>
        </w:rPr>
        <w:t>J</w:t>
      </w:r>
      <w:r w:rsidRPr="00CD3D51">
        <w:rPr>
          <w:sz w:val="20"/>
          <w:szCs w:val="20"/>
          <w:lang w:val="pl-PL"/>
        </w:rPr>
        <w:t>ed</w:t>
      </w:r>
      <w:r>
        <w:rPr>
          <w:sz w:val="20"/>
          <w:szCs w:val="20"/>
          <w:lang w:val="pl-PL"/>
        </w:rPr>
        <w:t xml:space="preserve">nak </w:t>
      </w:r>
      <w:r w:rsidR="00FF627C">
        <w:rPr>
          <w:sz w:val="20"/>
          <w:szCs w:val="20"/>
          <w:lang w:val="pl-PL"/>
        </w:rPr>
        <w:t>w 13</w:t>
      </w:r>
      <w:r>
        <w:rPr>
          <w:sz w:val="20"/>
          <w:szCs w:val="20"/>
          <w:lang w:val="pl-PL"/>
        </w:rPr>
        <w:t xml:space="preserve"> proc. </w:t>
      </w:r>
      <w:r w:rsidR="00FF627C">
        <w:rPr>
          <w:sz w:val="20"/>
          <w:szCs w:val="20"/>
          <w:lang w:val="pl-PL"/>
        </w:rPr>
        <w:t>przypadków firmy nie były w stanie w pełni zrealizować procesów rekrutacyjnych – albo nie obsadziły wszystkich wakatów osobami o odpowiednich kompetencjach (4 proc.), albo musiały obniżyć wymagania wobec kandydatów (7 proc.), a niektóre z nich ostatecznie nie zatrudniły nikogo</w:t>
      </w:r>
      <w:r w:rsidRPr="00CD3D51">
        <w:rPr>
          <w:sz w:val="20"/>
          <w:szCs w:val="20"/>
          <w:lang w:val="pl-PL"/>
        </w:rPr>
        <w:t>.</w:t>
      </w:r>
    </w:p>
    <w:p w14:paraId="4B93C8EF" w14:textId="71F64C3F" w:rsidR="00FF627C" w:rsidRDefault="00FF627C" w:rsidP="00CD3D51">
      <w:pPr>
        <w:pStyle w:val="HeaderAddress"/>
        <w:spacing w:before="240" w:line="276" w:lineRule="auto"/>
        <w:rPr>
          <w:sz w:val="20"/>
          <w:szCs w:val="20"/>
          <w:lang w:val="pl-PL"/>
        </w:rPr>
      </w:pPr>
      <w:r>
        <w:rPr>
          <w:sz w:val="20"/>
          <w:szCs w:val="20"/>
          <w:lang w:val="pl-PL"/>
        </w:rPr>
        <w:t>Te wyzwania rekrutacyjne w obecnej sytuacji gospodarczej nie są jeszcze tak wyraźne, jak były choćby przed rokiem. Doświadczenie pokazuje, że będą jednak narastać</w:t>
      </w:r>
      <w:r w:rsidR="00C93FBD">
        <w:rPr>
          <w:sz w:val="20"/>
          <w:szCs w:val="20"/>
          <w:lang w:val="pl-PL"/>
        </w:rPr>
        <w:t xml:space="preserve"> wraz z poprawą sytuacji gospodarczej. Wobec tego pracodawcy gotowi są na kompromisy w procesach rekrutacyjnych w obliczu potencjalnych trudności z pozyskaniem kandydatów o odpowiednim profilu i o odpowiednich kompetencjach, przede wszystkim na rezygnację z:</w:t>
      </w:r>
    </w:p>
    <w:p w14:paraId="15B5C7EB" w14:textId="47A9A913" w:rsidR="00C93FBD" w:rsidRPr="00C93FBD" w:rsidRDefault="00C93FBD" w:rsidP="000D799A">
      <w:pPr>
        <w:pStyle w:val="HeaderAddress"/>
        <w:numPr>
          <w:ilvl w:val="0"/>
          <w:numId w:val="2"/>
        </w:numPr>
        <w:spacing w:before="240" w:line="276" w:lineRule="auto"/>
        <w:ind w:left="426" w:hanging="284"/>
        <w:rPr>
          <w:sz w:val="20"/>
          <w:szCs w:val="20"/>
          <w:lang w:val="pl-PL"/>
        </w:rPr>
      </w:pPr>
      <w:r>
        <w:rPr>
          <w:sz w:val="20"/>
          <w:szCs w:val="20"/>
          <w:lang w:val="pl-PL"/>
        </w:rPr>
        <w:t>oczekiwania znajomości</w:t>
      </w:r>
      <w:r w:rsidRPr="00CD3D51">
        <w:rPr>
          <w:sz w:val="20"/>
          <w:szCs w:val="20"/>
          <w:lang w:val="pl-PL"/>
        </w:rPr>
        <w:t xml:space="preserve"> konkretnych narzędzi i technologii (</w:t>
      </w:r>
      <w:r>
        <w:rPr>
          <w:sz w:val="20"/>
          <w:szCs w:val="20"/>
          <w:lang w:val="pl-PL"/>
        </w:rPr>
        <w:t xml:space="preserve">ten </w:t>
      </w:r>
      <w:r w:rsidRPr="00CD3D51">
        <w:rPr>
          <w:sz w:val="20"/>
          <w:szCs w:val="20"/>
          <w:lang w:val="pl-PL"/>
        </w:rPr>
        <w:t>kompr</w:t>
      </w:r>
      <w:r>
        <w:rPr>
          <w:sz w:val="20"/>
          <w:szCs w:val="20"/>
          <w:lang w:val="pl-PL"/>
        </w:rPr>
        <w:t>omis wskazuje 47 proc. pracodaw</w:t>
      </w:r>
      <w:r w:rsidRPr="00CD3D51">
        <w:rPr>
          <w:sz w:val="20"/>
          <w:szCs w:val="20"/>
          <w:lang w:val="pl-PL"/>
        </w:rPr>
        <w:t>ców),</w:t>
      </w:r>
    </w:p>
    <w:p w14:paraId="1AEF0682" w14:textId="5D30D797" w:rsidR="00CD3D51" w:rsidRPr="00CD3D51" w:rsidRDefault="00CD3D51" w:rsidP="00CD3D51">
      <w:pPr>
        <w:pStyle w:val="HeaderAddress"/>
        <w:numPr>
          <w:ilvl w:val="0"/>
          <w:numId w:val="2"/>
        </w:numPr>
        <w:spacing w:before="240" w:line="276" w:lineRule="auto"/>
        <w:ind w:left="426" w:hanging="284"/>
        <w:rPr>
          <w:sz w:val="20"/>
          <w:szCs w:val="20"/>
          <w:lang w:val="pl-PL"/>
        </w:rPr>
      </w:pPr>
      <w:r w:rsidRPr="00CD3D51">
        <w:rPr>
          <w:sz w:val="20"/>
          <w:szCs w:val="20"/>
          <w:lang w:val="pl-PL"/>
        </w:rPr>
        <w:t>minimalnej liczby lat doświadczenia (37 proc.),</w:t>
      </w:r>
    </w:p>
    <w:p w14:paraId="5479013A" w14:textId="0E2585DB" w:rsidR="00C93FBD" w:rsidRDefault="00C93FBD" w:rsidP="000D799A">
      <w:pPr>
        <w:pStyle w:val="HeaderAddress"/>
        <w:numPr>
          <w:ilvl w:val="0"/>
          <w:numId w:val="2"/>
        </w:numPr>
        <w:spacing w:before="240" w:line="276" w:lineRule="auto"/>
        <w:ind w:left="426" w:hanging="284"/>
        <w:rPr>
          <w:sz w:val="20"/>
          <w:szCs w:val="20"/>
          <w:lang w:val="pl-PL"/>
        </w:rPr>
      </w:pPr>
      <w:r>
        <w:rPr>
          <w:sz w:val="20"/>
          <w:szCs w:val="20"/>
          <w:lang w:val="pl-PL"/>
        </w:rPr>
        <w:t xml:space="preserve">wymogu </w:t>
      </w:r>
      <w:r w:rsidR="00CD3D51" w:rsidRPr="00CD3D51">
        <w:rPr>
          <w:sz w:val="20"/>
          <w:szCs w:val="20"/>
          <w:lang w:val="pl-PL"/>
        </w:rPr>
        <w:t>znajomości języka obcego na określonym pozi</w:t>
      </w:r>
      <w:r w:rsidR="00CD3D51">
        <w:rPr>
          <w:sz w:val="20"/>
          <w:szCs w:val="20"/>
          <w:lang w:val="pl-PL"/>
        </w:rPr>
        <w:t xml:space="preserve">omie </w:t>
      </w:r>
      <w:r>
        <w:rPr>
          <w:sz w:val="20"/>
          <w:szCs w:val="20"/>
          <w:lang w:val="pl-PL"/>
        </w:rPr>
        <w:t>(</w:t>
      </w:r>
      <w:r w:rsidR="00CD3D51" w:rsidRPr="00CD3D51">
        <w:rPr>
          <w:sz w:val="20"/>
          <w:szCs w:val="20"/>
          <w:lang w:val="pl-PL"/>
        </w:rPr>
        <w:t>14 proc.</w:t>
      </w:r>
      <w:r>
        <w:rPr>
          <w:sz w:val="20"/>
          <w:szCs w:val="20"/>
          <w:lang w:val="pl-PL"/>
        </w:rPr>
        <w:t>),</w:t>
      </w:r>
    </w:p>
    <w:p w14:paraId="47030660" w14:textId="4B3C2674" w:rsidR="00C93FBD" w:rsidRDefault="00C93FBD" w:rsidP="000D799A">
      <w:pPr>
        <w:pStyle w:val="HeaderAddress"/>
        <w:numPr>
          <w:ilvl w:val="0"/>
          <w:numId w:val="2"/>
        </w:numPr>
        <w:spacing w:before="240" w:line="276" w:lineRule="auto"/>
        <w:ind w:left="426" w:hanging="284"/>
        <w:rPr>
          <w:sz w:val="20"/>
          <w:szCs w:val="20"/>
          <w:lang w:val="pl-PL"/>
        </w:rPr>
      </w:pPr>
      <w:r>
        <w:rPr>
          <w:sz w:val="20"/>
          <w:szCs w:val="20"/>
          <w:lang w:val="pl-PL"/>
        </w:rPr>
        <w:t>wymogu posiadania certyfikatów lub ukończonych kursów branżowych (9 proc.),</w:t>
      </w:r>
    </w:p>
    <w:p w14:paraId="3E88919E" w14:textId="77777777" w:rsidR="00197DA6" w:rsidRDefault="00C93FBD" w:rsidP="00197DA6">
      <w:pPr>
        <w:pStyle w:val="HeaderAddress"/>
        <w:numPr>
          <w:ilvl w:val="0"/>
          <w:numId w:val="2"/>
        </w:numPr>
        <w:spacing w:before="240" w:line="276" w:lineRule="auto"/>
        <w:ind w:left="426" w:hanging="284"/>
        <w:rPr>
          <w:sz w:val="20"/>
          <w:szCs w:val="20"/>
          <w:lang w:val="pl-PL"/>
        </w:rPr>
      </w:pPr>
      <w:r>
        <w:rPr>
          <w:sz w:val="20"/>
          <w:szCs w:val="20"/>
          <w:lang w:val="pl-PL"/>
        </w:rPr>
        <w:lastRenderedPageBreak/>
        <w:t>wymogu wykształcenia formalnego, np. ukończonego konkretnego kierunku studiów (9 proc.).</w:t>
      </w:r>
    </w:p>
    <w:p w14:paraId="4EBD6D3A" w14:textId="184720D5" w:rsidR="00197DA6" w:rsidRPr="00197DA6" w:rsidRDefault="00197DA6" w:rsidP="00197DA6">
      <w:pPr>
        <w:pStyle w:val="HeaderAddress"/>
        <w:spacing w:before="240" w:line="276" w:lineRule="auto"/>
        <w:rPr>
          <w:sz w:val="20"/>
          <w:szCs w:val="20"/>
          <w:lang w:val="pl-PL"/>
        </w:rPr>
      </w:pPr>
      <w:r w:rsidRPr="00197DA6">
        <w:rPr>
          <w:rFonts w:eastAsia="Arial"/>
          <w:i/>
          <w:iCs/>
          <w:sz w:val="20"/>
          <w:szCs w:val="20"/>
          <w:lang w:val="pl-PL"/>
        </w:rPr>
        <w:t>– Dużo sztywniejsze są postawy pracodawców, gdy chodzi o określone formuły zatrudnienia i organizacji pracy. Zrezygnować ze swoich oczekiwań jeśli chodzi o etat czy współpracę b2b gotowych było tylko 6 proc. badanych przedsiębiorstw. Zaoferować część etatu zamiast całego gotowych było 3 proc., a zaproponować tryb hybrydowy czy zdalny pracy zamiast stacjonarnego – 2 proc. To oznacza, że niektóre grupy kandydatów, które cenią sobie większą elastyczność (np. młodzi pracownicy lub rodzice małych dzieci) będą miały niewielką pulę ofert pracy, która spełniać będzie ich oczekiwania, a z kolei firmy dobrowolnie rezygnują z dostępu do ich kompetencji i talentów –</w:t>
      </w:r>
      <w:r w:rsidRPr="00197DA6">
        <w:rPr>
          <w:rFonts w:eastAsia="Arial"/>
          <w:sz w:val="20"/>
          <w:szCs w:val="20"/>
          <w:lang w:val="pl-PL"/>
        </w:rPr>
        <w:t xml:space="preserve"> </w:t>
      </w:r>
      <w:r w:rsidRPr="00197DA6">
        <w:rPr>
          <w:rFonts w:eastAsia="Arial"/>
          <w:b/>
          <w:bCs/>
          <w:sz w:val="20"/>
          <w:szCs w:val="20"/>
          <w:lang w:val="pl-PL"/>
        </w:rPr>
        <w:t>zauważa</w:t>
      </w:r>
      <w:r w:rsidRPr="00197DA6">
        <w:rPr>
          <w:rFonts w:eastAsia="Arial"/>
          <w:sz w:val="20"/>
          <w:szCs w:val="20"/>
          <w:lang w:val="pl-PL"/>
        </w:rPr>
        <w:t xml:space="preserve"> </w:t>
      </w:r>
      <w:r w:rsidRPr="00197DA6">
        <w:rPr>
          <w:rFonts w:eastAsia="Arial"/>
          <w:b/>
          <w:bCs/>
          <w:sz w:val="20"/>
          <w:szCs w:val="20"/>
          <w:lang w:val="pl-PL"/>
        </w:rPr>
        <w:t xml:space="preserve">Łukasz Komuda, ekspert rynku pracy Fundacji Inicjatyw Społeczno-Ekonomicznych i współautor </w:t>
      </w:r>
      <w:proofErr w:type="spellStart"/>
      <w:r w:rsidRPr="00197DA6">
        <w:rPr>
          <w:rFonts w:eastAsia="Arial"/>
          <w:b/>
          <w:bCs/>
          <w:sz w:val="20"/>
          <w:szCs w:val="20"/>
          <w:lang w:val="pl-PL"/>
        </w:rPr>
        <w:t>podcastu</w:t>
      </w:r>
      <w:proofErr w:type="spellEnd"/>
      <w:r w:rsidRPr="00197DA6">
        <w:rPr>
          <w:rFonts w:eastAsia="Arial"/>
          <w:b/>
          <w:bCs/>
          <w:sz w:val="20"/>
          <w:szCs w:val="20"/>
          <w:lang w:val="pl-PL"/>
        </w:rPr>
        <w:t xml:space="preserve"> „Ekonomia i cała reszta”.</w:t>
      </w:r>
    </w:p>
    <w:p w14:paraId="08A17DC6" w14:textId="3DEB1EF7" w:rsidR="00CD3D51" w:rsidRPr="00CD3D51" w:rsidRDefault="00197DA6" w:rsidP="00CD3D51">
      <w:pPr>
        <w:pStyle w:val="HeaderAddress"/>
        <w:spacing w:before="240" w:line="276" w:lineRule="auto"/>
        <w:rPr>
          <w:sz w:val="20"/>
          <w:szCs w:val="20"/>
          <w:lang w:val="pl-PL"/>
        </w:rPr>
      </w:pPr>
      <w:r>
        <w:rPr>
          <w:sz w:val="20"/>
          <w:szCs w:val="20"/>
          <w:lang w:val="pl-PL"/>
        </w:rPr>
        <w:t>R</w:t>
      </w:r>
      <w:bookmarkStart w:id="0" w:name="_GoBack"/>
      <w:bookmarkEnd w:id="0"/>
      <w:r w:rsidR="00CD3D51" w:rsidRPr="00CD3D51">
        <w:rPr>
          <w:sz w:val="20"/>
          <w:szCs w:val="20"/>
          <w:lang w:val="pl-PL"/>
        </w:rPr>
        <w:t>ezygnacja z części wymagań oznacza</w:t>
      </w:r>
      <w:r w:rsidR="00C93FBD">
        <w:rPr>
          <w:sz w:val="20"/>
          <w:szCs w:val="20"/>
          <w:lang w:val="pl-PL"/>
        </w:rPr>
        <w:t xml:space="preserve">ć może także inne </w:t>
      </w:r>
      <w:r w:rsidR="00CD3D51" w:rsidRPr="00CD3D51">
        <w:rPr>
          <w:sz w:val="20"/>
          <w:szCs w:val="20"/>
          <w:lang w:val="pl-PL"/>
        </w:rPr>
        <w:t>oczekiwa</w:t>
      </w:r>
      <w:r w:rsidR="00C93FBD">
        <w:rPr>
          <w:sz w:val="20"/>
          <w:szCs w:val="20"/>
          <w:lang w:val="pl-PL"/>
        </w:rPr>
        <w:t>nia</w:t>
      </w:r>
      <w:r w:rsidR="00CD3D51" w:rsidRPr="00CD3D51">
        <w:rPr>
          <w:sz w:val="20"/>
          <w:szCs w:val="20"/>
          <w:lang w:val="pl-PL"/>
        </w:rPr>
        <w:t xml:space="preserve"> wobec kandydatów. Pracodawcy najczęściej wskazują, że </w:t>
      </w:r>
      <w:r w:rsidR="00C93FBD">
        <w:rPr>
          <w:sz w:val="20"/>
          <w:szCs w:val="20"/>
          <w:lang w:val="pl-PL"/>
        </w:rPr>
        <w:t xml:space="preserve">w sytuacji kompromisu rekrutacyjnego </w:t>
      </w:r>
      <w:r w:rsidR="00CD3D51" w:rsidRPr="00CD3D51">
        <w:rPr>
          <w:sz w:val="20"/>
          <w:szCs w:val="20"/>
          <w:lang w:val="pl-PL"/>
        </w:rPr>
        <w:t xml:space="preserve">liczą na gotowość </w:t>
      </w:r>
      <w:r w:rsidR="00C93FBD">
        <w:rPr>
          <w:sz w:val="20"/>
          <w:szCs w:val="20"/>
          <w:lang w:val="pl-PL"/>
        </w:rPr>
        <w:t xml:space="preserve">pracowników </w:t>
      </w:r>
      <w:r w:rsidR="00CD3D51" w:rsidRPr="00CD3D51">
        <w:rPr>
          <w:sz w:val="20"/>
          <w:szCs w:val="20"/>
          <w:lang w:val="pl-PL"/>
        </w:rPr>
        <w:t>do rozwoju i poszerzania kompetencji poprzez samodzielną naukę i chęć nauki od innych pracowników (35 proc.), gotowość do udziału w szkoleniu finansowanym przez firmę (15 proc.), a także na gotowość do dłuższego okresu próbnego przed zatrudnieniem na czas nieokreślony (14 proc.). Część pracodawców oczekuje również, że kandydaci uzupełnią brakujące kursy lub certyfikacje na własny koszt (12 proc.) albo zaakceptują tymczasowe formy zatrudnienia zamiast umowy o pracę, dopóki nie osiągną wymaganych kompetencji (10 proc.).</w:t>
      </w:r>
    </w:p>
    <w:p w14:paraId="435528E7" w14:textId="384E59C9" w:rsidR="00A87157" w:rsidRDefault="00CD3D51" w:rsidP="00CD3D51">
      <w:pPr>
        <w:pStyle w:val="HeaderAddress"/>
        <w:spacing w:before="240" w:line="276" w:lineRule="auto"/>
        <w:rPr>
          <w:sz w:val="20"/>
          <w:szCs w:val="20"/>
          <w:lang w:val="pl-PL"/>
        </w:rPr>
      </w:pPr>
      <w:r w:rsidRPr="00CD3D51">
        <w:rPr>
          <w:sz w:val="20"/>
          <w:szCs w:val="20"/>
          <w:lang w:val="pl-PL"/>
        </w:rPr>
        <w:t xml:space="preserve">W odpowiedzi na wyzwania </w:t>
      </w:r>
      <w:r w:rsidR="00C93FBD">
        <w:rPr>
          <w:sz w:val="20"/>
          <w:szCs w:val="20"/>
          <w:lang w:val="pl-PL"/>
        </w:rPr>
        <w:t xml:space="preserve">związane z niedoborem kompetencyjnym </w:t>
      </w:r>
      <w:r w:rsidRPr="00CD3D51">
        <w:rPr>
          <w:sz w:val="20"/>
          <w:szCs w:val="20"/>
          <w:lang w:val="pl-PL"/>
        </w:rPr>
        <w:t xml:space="preserve">83 proc. pracodawców podkreśla, że coraz bardziej koncentruje się na potencjale i motywacji kandydatów, a nie tylko na ich dotychczasowych kwalifikacjach i doświadczeniu. 80 proc. firm deklaruje wdrożenie wewnętrznych programów szkoleniowych, które pozwalają szybko uzupełnić brakujące kompetencje nowo zatrudnionych pracowników. Dodatkowo 71 proc. pracodawców woli zatrudnić wcześniej osobę mniej wykwalifikowaną, ale z wysokim potencjałem do nauki niż czekać dłużej na idealnego kandydata. Aż 42 proc. firm wdrożyło też alternatywne metody oceny kandydatów – takie jak testy kompetencyjne, próbki pracy czy </w:t>
      </w:r>
      <w:proofErr w:type="spellStart"/>
      <w:r w:rsidRPr="00CD3D51">
        <w:rPr>
          <w:sz w:val="20"/>
          <w:szCs w:val="20"/>
          <w:lang w:val="pl-PL"/>
        </w:rPr>
        <w:t>assessment</w:t>
      </w:r>
      <w:proofErr w:type="spellEnd"/>
      <w:r w:rsidRPr="00CD3D51">
        <w:rPr>
          <w:sz w:val="20"/>
          <w:szCs w:val="20"/>
          <w:lang w:val="pl-PL"/>
        </w:rPr>
        <w:t xml:space="preserve"> </w:t>
      </w:r>
      <w:proofErr w:type="spellStart"/>
      <w:r w:rsidRPr="00CD3D51">
        <w:rPr>
          <w:sz w:val="20"/>
          <w:szCs w:val="20"/>
          <w:lang w:val="pl-PL"/>
        </w:rPr>
        <w:t>center</w:t>
      </w:r>
      <w:proofErr w:type="spellEnd"/>
      <w:r w:rsidRPr="00CD3D51">
        <w:rPr>
          <w:sz w:val="20"/>
          <w:szCs w:val="20"/>
          <w:lang w:val="pl-PL"/>
        </w:rPr>
        <w:t>, aby lepiej dopasować się do reali</w:t>
      </w:r>
      <w:r>
        <w:rPr>
          <w:sz w:val="20"/>
          <w:szCs w:val="20"/>
          <w:lang w:val="pl-PL"/>
        </w:rPr>
        <w:t>ów rynku i skuteczniej zrekruto</w:t>
      </w:r>
      <w:r w:rsidRPr="00CD3D51">
        <w:rPr>
          <w:sz w:val="20"/>
          <w:szCs w:val="20"/>
          <w:lang w:val="pl-PL"/>
        </w:rPr>
        <w:t>wać pracowników.</w:t>
      </w:r>
    </w:p>
    <w:p w14:paraId="3CA20BDF" w14:textId="77777777" w:rsidR="00CD3D51" w:rsidRDefault="00CD3D51" w:rsidP="00D72017">
      <w:pPr>
        <w:pStyle w:val="HeaderAddress"/>
        <w:spacing w:line="276" w:lineRule="auto"/>
        <w:rPr>
          <w:color w:val="0070C0"/>
          <w:sz w:val="18"/>
          <w:szCs w:val="18"/>
          <w:u w:color="0070C0"/>
          <w:lang w:val="pl-PL"/>
        </w:rPr>
      </w:pPr>
    </w:p>
    <w:p w14:paraId="37DF8A94" w14:textId="4C7BC584" w:rsidR="005F07BC" w:rsidRPr="00010C3C" w:rsidRDefault="001A7186" w:rsidP="00D72017">
      <w:pPr>
        <w:pStyle w:val="HeaderAddress"/>
        <w:spacing w:line="276" w:lineRule="auto"/>
        <w:rPr>
          <w:rFonts w:eastAsia="Tahoma Bold"/>
          <w:color w:val="0070C0"/>
          <w:sz w:val="18"/>
          <w:szCs w:val="18"/>
          <w:u w:color="0070C0"/>
          <w:lang w:val="pl-PL"/>
        </w:rPr>
      </w:pPr>
      <w:r w:rsidRPr="00010C3C">
        <w:rPr>
          <w:color w:val="0070C0"/>
          <w:sz w:val="18"/>
          <w:szCs w:val="18"/>
          <w:u w:color="0070C0"/>
          <w:lang w:val="pl-PL"/>
        </w:rPr>
        <w:t>Kontakt:</w:t>
      </w:r>
    </w:p>
    <w:p w14:paraId="15D42051" w14:textId="77777777" w:rsidR="005F07BC" w:rsidRPr="00010C3C" w:rsidRDefault="001A7186" w:rsidP="00D72017">
      <w:pPr>
        <w:pStyle w:val="HeaderAddress"/>
        <w:spacing w:line="276" w:lineRule="auto"/>
        <w:rPr>
          <w:rFonts w:eastAsia="Tahoma Bold"/>
          <w:sz w:val="18"/>
          <w:szCs w:val="18"/>
          <w:lang w:val="pl-PL"/>
        </w:rPr>
      </w:pPr>
      <w:r w:rsidRPr="00010C3C">
        <w:rPr>
          <w:sz w:val="18"/>
          <w:szCs w:val="18"/>
          <w:lang w:val="pl-PL"/>
        </w:rPr>
        <w:t>Mateusz Żydek</w:t>
      </w:r>
    </w:p>
    <w:p w14:paraId="05E88105" w14:textId="77777777" w:rsidR="005F07BC" w:rsidRPr="00010C3C" w:rsidRDefault="001A7186" w:rsidP="00D72017">
      <w:pPr>
        <w:pStyle w:val="HeaderAddress"/>
        <w:spacing w:line="276" w:lineRule="auto"/>
        <w:rPr>
          <w:sz w:val="18"/>
          <w:szCs w:val="18"/>
          <w:lang w:val="pl-PL"/>
        </w:rPr>
      </w:pPr>
      <w:r w:rsidRPr="00010C3C">
        <w:rPr>
          <w:sz w:val="18"/>
          <w:szCs w:val="18"/>
          <w:lang w:val="pl-PL"/>
        </w:rPr>
        <w:t>Rzecznik Prasowy</w:t>
      </w:r>
    </w:p>
    <w:p w14:paraId="43AA5C22" w14:textId="77777777" w:rsidR="005F07BC" w:rsidRPr="00010C3C" w:rsidRDefault="001A7186" w:rsidP="00D72017">
      <w:pPr>
        <w:pStyle w:val="HeaderAddress"/>
        <w:spacing w:line="276" w:lineRule="auto"/>
        <w:rPr>
          <w:sz w:val="18"/>
          <w:szCs w:val="18"/>
          <w:lang w:val="pl-PL"/>
        </w:rPr>
      </w:pPr>
      <w:r w:rsidRPr="00010C3C">
        <w:rPr>
          <w:sz w:val="18"/>
          <w:szCs w:val="18"/>
          <w:lang w:val="pl-PL"/>
        </w:rPr>
        <w:t>Tel. +48 665 305 902</w:t>
      </w:r>
    </w:p>
    <w:p w14:paraId="799D4A7B" w14:textId="77777777" w:rsidR="005F07BC" w:rsidRPr="00010C3C" w:rsidRDefault="001A7186" w:rsidP="00D72017">
      <w:pPr>
        <w:pStyle w:val="HeaderAddress"/>
        <w:spacing w:line="276" w:lineRule="auto"/>
        <w:rPr>
          <w:rStyle w:val="Brak"/>
          <w:color w:val="4F81BD"/>
          <w:sz w:val="18"/>
          <w:szCs w:val="18"/>
          <w:u w:color="4F81BD"/>
          <w:lang w:val="pl-PL"/>
        </w:rPr>
      </w:pPr>
      <w:r w:rsidRPr="00010C3C">
        <w:rPr>
          <w:sz w:val="18"/>
          <w:szCs w:val="18"/>
          <w:lang w:val="pl-PL"/>
        </w:rPr>
        <w:t xml:space="preserve">Email: </w:t>
      </w:r>
      <w:hyperlink r:id="rId11" w:history="1">
        <w:r w:rsidRPr="00010C3C">
          <w:rPr>
            <w:rStyle w:val="Hyperlink0"/>
            <w:lang w:val="pl-PL"/>
          </w:rPr>
          <w:t>mateusz.zydek@randstad.pl</w:t>
        </w:r>
      </w:hyperlink>
    </w:p>
    <w:p w14:paraId="223F517D" w14:textId="77777777" w:rsidR="005F07BC" w:rsidRPr="00010C3C" w:rsidRDefault="005F07BC" w:rsidP="00204078">
      <w:pPr>
        <w:pStyle w:val="HeaderAddress"/>
        <w:spacing w:line="276" w:lineRule="auto"/>
        <w:jc w:val="both"/>
        <w:rPr>
          <w:rStyle w:val="Brak"/>
          <w:color w:val="4F81BD"/>
          <w:sz w:val="18"/>
          <w:szCs w:val="18"/>
          <w:u w:color="4F81BD"/>
          <w:lang w:val="pl-PL"/>
        </w:rPr>
      </w:pPr>
    </w:p>
    <w:p w14:paraId="7225E52D" w14:textId="77777777" w:rsidR="005F07BC" w:rsidRPr="00010C3C" w:rsidRDefault="005F07BC" w:rsidP="00204078">
      <w:pPr>
        <w:pStyle w:val="Normalny1"/>
        <w:pBdr>
          <w:bottom w:val="single" w:sz="6" w:space="0" w:color="000000"/>
        </w:pBdr>
        <w:spacing w:line="276" w:lineRule="auto"/>
        <w:jc w:val="both"/>
        <w:rPr>
          <w:rStyle w:val="Brak"/>
          <w:rFonts w:eastAsia="Tahoma Bold"/>
          <w:sz w:val="14"/>
          <w:szCs w:val="14"/>
          <w:lang w:val="pl-PL"/>
        </w:rPr>
      </w:pPr>
    </w:p>
    <w:p w14:paraId="3731601C" w14:textId="77777777" w:rsidR="00CD3D51" w:rsidRPr="00CD3D51" w:rsidRDefault="008660FC" w:rsidP="00CD3D51">
      <w:pPr>
        <w:spacing w:line="276" w:lineRule="auto"/>
        <w:jc w:val="both"/>
        <w:rPr>
          <w:rStyle w:val="Brak"/>
          <w:rFonts w:ascii="Tahoma" w:eastAsia="Tahoma" w:hAnsi="Tahoma" w:cs="Tahoma"/>
          <w:color w:val="000000" w:themeColor="text1"/>
          <w:sz w:val="16"/>
          <w:szCs w:val="16"/>
          <w:lang w:val="pl-PL"/>
        </w:rPr>
      </w:pPr>
      <w:r w:rsidRPr="00010C3C">
        <w:rPr>
          <w:rStyle w:val="Brak"/>
          <w:rFonts w:ascii="Tahoma" w:hAnsi="Tahoma" w:cs="Tahoma"/>
          <w:color w:val="4F81BD"/>
          <w:kern w:val="16"/>
          <w:u w:color="4F81BD"/>
          <w:lang w:val="pl-PL"/>
        </w:rPr>
        <w:br/>
      </w:r>
      <w:r w:rsidR="00CD3D51" w:rsidRPr="00CD3D51">
        <w:rPr>
          <w:rFonts w:ascii="Tahoma" w:hAnsi="Tahoma" w:cs="Tahoma"/>
          <w:color w:val="4F81BD"/>
          <w:spacing w:val="-4"/>
          <w:sz w:val="16"/>
          <w:szCs w:val="16"/>
          <w:lang w:val="pl-PL"/>
        </w:rPr>
        <w:t>Plany Pracodawców</w:t>
      </w:r>
      <w:r w:rsidR="00CD3D51" w:rsidRPr="00CD3D51">
        <w:rPr>
          <w:rFonts w:ascii="Tahoma" w:hAnsi="Tahoma" w:cs="Tahoma"/>
          <w:color w:val="0070C0"/>
          <w:spacing w:val="-4"/>
          <w:sz w:val="16"/>
          <w:szCs w:val="16"/>
          <w:lang w:val="pl-PL"/>
        </w:rPr>
        <w:t xml:space="preserve"> </w:t>
      </w:r>
      <w:r w:rsidR="00CD3D51" w:rsidRPr="00CD3D51">
        <w:rPr>
          <w:rStyle w:val="Brak"/>
          <w:rFonts w:ascii="Tahoma" w:eastAsia="Tahoma" w:hAnsi="Tahoma" w:cs="Tahoma"/>
          <w:color w:val="000000" w:themeColor="text1"/>
          <w:sz w:val="16"/>
          <w:szCs w:val="16"/>
          <w:lang w:val="pl-PL"/>
        </w:rPr>
        <w:t xml:space="preserve">to sondaż </w:t>
      </w:r>
      <w:r w:rsidR="00CD3D51" w:rsidRPr="00CD3D51">
        <w:rPr>
          <w:rFonts w:ascii="Tahoma" w:hAnsi="Tahoma" w:cs="Tahoma"/>
          <w:color w:val="4F81BD"/>
          <w:spacing w:val="-4"/>
          <w:sz w:val="16"/>
          <w:szCs w:val="16"/>
          <w:lang w:val="pl-PL"/>
        </w:rPr>
        <w:t xml:space="preserve">Instytutu Badawczego </w:t>
      </w:r>
      <w:proofErr w:type="spellStart"/>
      <w:r w:rsidR="00CD3D51" w:rsidRPr="00CD3D51">
        <w:rPr>
          <w:rFonts w:ascii="Tahoma" w:hAnsi="Tahoma" w:cs="Tahoma"/>
          <w:color w:val="4F81BD"/>
          <w:spacing w:val="-4"/>
          <w:sz w:val="16"/>
          <w:szCs w:val="16"/>
          <w:lang w:val="pl-PL"/>
        </w:rPr>
        <w:t>Randstad</w:t>
      </w:r>
      <w:proofErr w:type="spellEnd"/>
      <w:r w:rsidR="00CD3D51" w:rsidRPr="00CD3D51">
        <w:rPr>
          <w:rFonts w:ascii="Tahoma" w:hAnsi="Tahoma" w:cs="Tahoma"/>
          <w:spacing w:val="-4"/>
          <w:sz w:val="16"/>
          <w:szCs w:val="16"/>
          <w:lang w:val="pl-PL"/>
        </w:rPr>
        <w:t xml:space="preserve">, </w:t>
      </w:r>
      <w:r w:rsidR="00CD3D51" w:rsidRPr="00CD3D51">
        <w:rPr>
          <w:rStyle w:val="Brak"/>
          <w:rFonts w:ascii="Tahoma" w:eastAsia="Tahoma" w:hAnsi="Tahoma" w:cs="Tahoma"/>
          <w:color w:val="000000" w:themeColor="text1"/>
          <w:sz w:val="16"/>
          <w:szCs w:val="16"/>
          <w:lang w:val="pl-PL"/>
        </w:rPr>
        <w:t>w którym respondentami są pracodawcy wyrażający opinie w najważniejszych obszarach ich działalności, m.in.: planowanych zmian w poziomie zatrudnienia i wynagrodzeń, czy przewidywanych zmian kondycji firm i gospodarki. Pytania kierowane są bezpośrednio do osób odpowiedzialnych za politykę kadrową (w małych przedsiębiorstwach jest to zarząd lub właściciel firmy). Wywiady bieżącej, 51. edycji badania, zostały zrealizowane w okresie od 23 kwietnia do 22 maja 2025 roku.</w:t>
      </w:r>
    </w:p>
    <w:p w14:paraId="7C40F5F9" w14:textId="77777777" w:rsidR="00CD3D51" w:rsidRPr="00CD3D51" w:rsidRDefault="00CD3D51" w:rsidP="00CD3D51">
      <w:pPr>
        <w:spacing w:line="276" w:lineRule="auto"/>
        <w:jc w:val="both"/>
        <w:rPr>
          <w:rFonts w:ascii="Tahoma" w:hAnsi="Tahoma" w:cs="Tahoma"/>
          <w:spacing w:val="-4"/>
          <w:sz w:val="16"/>
          <w:szCs w:val="16"/>
          <w:lang w:val="pl-PL"/>
        </w:rPr>
      </w:pPr>
    </w:p>
    <w:p w14:paraId="1480A6E0" w14:textId="42DE15C3" w:rsidR="02F55C5F" w:rsidRPr="00542483" w:rsidRDefault="00CD3D51" w:rsidP="00CD3D51">
      <w:pPr>
        <w:spacing w:line="276" w:lineRule="auto"/>
        <w:jc w:val="both"/>
        <w:rPr>
          <w:rStyle w:val="Brak"/>
          <w:rFonts w:ascii="Tahoma" w:eastAsia="Tahoma" w:hAnsi="Tahoma" w:cs="Tahoma"/>
          <w:color w:val="000000" w:themeColor="text1"/>
          <w:sz w:val="16"/>
          <w:szCs w:val="16"/>
          <w:lang w:val="pl-PL"/>
        </w:rPr>
      </w:pPr>
      <w:r w:rsidRPr="35BAD6D3">
        <w:rPr>
          <w:rStyle w:val="Brak"/>
          <w:rFonts w:ascii="Tahoma" w:eastAsia="Tahoma" w:hAnsi="Tahoma" w:cs="Tahoma"/>
          <w:color w:val="000000" w:themeColor="text1"/>
          <w:sz w:val="16"/>
          <w:szCs w:val="16"/>
          <w:lang w:val="pl-PL"/>
        </w:rPr>
        <w:t xml:space="preserve">Wywiady do niniejszej edycji badania zostały przeprowadzone metodą CATI (indywidualne telefoniczne wywiady kwestionariuszowe wspomagane komputerowo) przez Instytut Badań </w:t>
      </w:r>
      <w:proofErr w:type="spellStart"/>
      <w:r w:rsidRPr="35BAD6D3">
        <w:rPr>
          <w:rStyle w:val="Brak"/>
          <w:rFonts w:ascii="Tahoma" w:eastAsia="Tahoma" w:hAnsi="Tahoma" w:cs="Tahoma"/>
          <w:color w:val="000000" w:themeColor="text1"/>
          <w:sz w:val="16"/>
          <w:szCs w:val="16"/>
          <w:lang w:val="pl-PL"/>
        </w:rPr>
        <w:t>Pollster</w:t>
      </w:r>
      <w:proofErr w:type="spellEnd"/>
      <w:r w:rsidRPr="35BAD6D3">
        <w:rPr>
          <w:rStyle w:val="Brak"/>
          <w:rFonts w:ascii="Tahoma" w:eastAsia="Tahoma" w:hAnsi="Tahoma" w:cs="Tahoma"/>
          <w:color w:val="000000" w:themeColor="text1"/>
          <w:sz w:val="16"/>
          <w:szCs w:val="16"/>
          <w:lang w:val="pl-PL"/>
        </w:rPr>
        <w:t>. Wzięło w nich udział 1000 przedstawicieli firm. Próba jest reprezentatywna ze względu na branżę, region i wielkość firmy (liczbę zatrudnionych osób). Maksymalny błąd statystyczny dla próby 1000 osób wynosi +/-3,</w:t>
      </w:r>
    </w:p>
    <w:p w14:paraId="0D5EE788" w14:textId="77777777" w:rsidR="00F41FAD" w:rsidRPr="00186E9C" w:rsidRDefault="00F41FAD" w:rsidP="00C60E86">
      <w:pPr>
        <w:spacing w:line="276" w:lineRule="auto"/>
        <w:ind w:left="851"/>
        <w:rPr>
          <w:rFonts w:ascii="Tahoma" w:hAnsi="Tahoma" w:cs="Tahoma"/>
          <w:sz w:val="16"/>
          <w:lang w:val="pl-PL"/>
        </w:rPr>
      </w:pPr>
    </w:p>
    <w:p w14:paraId="0CE50009" w14:textId="77777777" w:rsidR="00F41FAD" w:rsidRPr="00F41FAD" w:rsidRDefault="00F41FAD" w:rsidP="00C60E86">
      <w:pPr>
        <w:spacing w:line="276" w:lineRule="auto"/>
        <w:rPr>
          <w:rStyle w:val="Brak"/>
          <w:rFonts w:ascii="Tahoma" w:eastAsia="Tahoma" w:hAnsi="Tahoma" w:cs="Tahoma"/>
          <w:color w:val="000000" w:themeColor="text1"/>
          <w:sz w:val="16"/>
          <w:szCs w:val="16"/>
          <w:lang w:val="pl-PL"/>
        </w:rPr>
      </w:pPr>
      <w:proofErr w:type="spellStart"/>
      <w:r w:rsidRPr="00F41FAD">
        <w:rPr>
          <w:rStyle w:val="Brak"/>
          <w:rFonts w:ascii="Tahoma" w:eastAsia="Tahoma" w:hAnsi="Tahoma" w:cs="Tahoma"/>
          <w:color w:val="4F81BD"/>
          <w:sz w:val="16"/>
          <w:szCs w:val="16"/>
          <w:lang w:val="pl-PL"/>
        </w:rPr>
        <w:t>Randstad</w:t>
      </w:r>
      <w:proofErr w:type="spellEnd"/>
      <w:r w:rsidRPr="00F41FAD">
        <w:rPr>
          <w:rStyle w:val="Brak"/>
          <w:rFonts w:ascii="Tahoma" w:eastAsia="Tahoma" w:hAnsi="Tahoma" w:cs="Tahoma"/>
          <w:color w:val="4F81BD"/>
          <w:sz w:val="16"/>
          <w:szCs w:val="16"/>
          <w:lang w:val="pl-PL"/>
        </w:rPr>
        <w:t xml:space="preserve"> Polska </w:t>
      </w:r>
      <w:r w:rsidRPr="00F41FAD">
        <w:rPr>
          <w:rStyle w:val="Brak"/>
          <w:rFonts w:ascii="Tahoma" w:eastAsia="Tahoma" w:hAnsi="Tahoma" w:cs="Tahoma"/>
          <w:color w:val="000000" w:themeColor="text1"/>
          <w:sz w:val="16"/>
          <w:szCs w:val="16"/>
          <w:lang w:val="pl-PL"/>
        </w:rPr>
        <w:t xml:space="preserve">jest częścią </w:t>
      </w:r>
      <w:proofErr w:type="spellStart"/>
      <w:r w:rsidRPr="00F41FAD">
        <w:rPr>
          <w:rStyle w:val="Brak"/>
          <w:rFonts w:ascii="Tahoma" w:eastAsia="Tahoma" w:hAnsi="Tahoma" w:cs="Tahoma"/>
          <w:color w:val="000000" w:themeColor="text1"/>
          <w:sz w:val="16"/>
          <w:szCs w:val="16"/>
          <w:lang w:val="pl-PL"/>
        </w:rPr>
        <w:t>Randstad</w:t>
      </w:r>
      <w:proofErr w:type="spellEnd"/>
      <w:r w:rsidRPr="00F41FAD">
        <w:rPr>
          <w:rStyle w:val="Brak"/>
          <w:rFonts w:ascii="Tahoma" w:eastAsia="Tahoma" w:hAnsi="Tahoma" w:cs="Tahoma"/>
          <w:color w:val="000000" w:themeColor="text1"/>
          <w:sz w:val="16"/>
          <w:szCs w:val="16"/>
          <w:lang w:val="pl-PL"/>
        </w:rPr>
        <w:t xml:space="preserve"> N.V. – najbardziej wyspecjalizowanej firmy na świecie działającej na rzecz talentów, która dba o wyrównywanie szans. Działając w ramach czterech specjalizacji – </w:t>
      </w:r>
      <w:proofErr w:type="spellStart"/>
      <w:r w:rsidRPr="00F41FAD">
        <w:rPr>
          <w:rStyle w:val="Brak"/>
          <w:rFonts w:ascii="Tahoma" w:eastAsia="Tahoma" w:hAnsi="Tahoma" w:cs="Tahoma"/>
          <w:color w:val="000000" w:themeColor="text1"/>
          <w:sz w:val="16"/>
          <w:szCs w:val="16"/>
          <w:lang w:val="pl-PL"/>
        </w:rPr>
        <w:t>Operational</w:t>
      </w:r>
      <w:proofErr w:type="spellEnd"/>
      <w:r w:rsidRPr="00F41FAD">
        <w:rPr>
          <w:rStyle w:val="Brak"/>
          <w:rFonts w:ascii="Tahoma" w:eastAsia="Tahoma" w:hAnsi="Tahoma" w:cs="Tahoma"/>
          <w:color w:val="000000" w:themeColor="text1"/>
          <w:sz w:val="16"/>
          <w:szCs w:val="16"/>
          <w:lang w:val="pl-PL"/>
        </w:rPr>
        <w:t>, Professional, Digi</w:t>
      </w:r>
      <w:r w:rsidRPr="00F41FAD">
        <w:rPr>
          <w:rStyle w:val="Brak"/>
          <w:rFonts w:ascii="Tahoma" w:eastAsia="Tahoma" w:hAnsi="Tahoma" w:cs="Tahoma"/>
          <w:color w:val="000000" w:themeColor="text1"/>
          <w:sz w:val="16"/>
          <w:szCs w:val="16"/>
          <w:lang w:val="pl-PL"/>
        </w:rPr>
        <w:lastRenderedPageBreak/>
        <w:t>tal i Enterprise – zapewniamy firmom wykwalifikowane, zróżnicowane i elastyczne zespoły, które wspierają ich w osiąganiu biznesowych sukcesów w świecie deficytu talentów. Poszukujących zatrudnienia wspieramy w zdobywaniu ważnych dla nich ról zawodowych, rozwoju właściwych kompetencji, odnajdywaniu celu i poczucia przynależności w miejscu pracy. Jesteśmy zaangażowani w budowanie lepszej i bardziej zrównoważonej przyszłości dla nas wszystkich.</w:t>
      </w:r>
      <w:r w:rsidRPr="00F41FAD">
        <w:rPr>
          <w:rStyle w:val="Brak"/>
          <w:rFonts w:ascii="Tahoma" w:eastAsia="Tahoma" w:hAnsi="Tahoma" w:cs="Tahoma"/>
          <w:color w:val="000000" w:themeColor="text1"/>
          <w:sz w:val="16"/>
          <w:szCs w:val="16"/>
          <w:lang w:val="pl-PL"/>
        </w:rPr>
        <w:br/>
      </w:r>
    </w:p>
    <w:p w14:paraId="1537810F" w14:textId="7D54D0A8" w:rsidR="00F41FAD" w:rsidRPr="00010C3C" w:rsidRDefault="00F41FAD" w:rsidP="00C60E86">
      <w:pPr>
        <w:spacing w:line="276" w:lineRule="auto"/>
        <w:rPr>
          <w:rStyle w:val="Brak"/>
          <w:rFonts w:ascii="Tahoma" w:hAnsi="Tahoma" w:cs="Tahoma"/>
          <w:color w:val="4F81BD"/>
          <w:kern w:val="16"/>
          <w:u w:color="4F81BD"/>
          <w:lang w:val="pl-PL"/>
        </w:rPr>
      </w:pPr>
      <w:r w:rsidRPr="00F41FAD">
        <w:rPr>
          <w:rStyle w:val="Brak"/>
          <w:rFonts w:ascii="Tahoma" w:eastAsia="Tahoma" w:hAnsi="Tahoma" w:cs="Tahoma"/>
          <w:color w:val="000000" w:themeColor="text1"/>
          <w:sz w:val="16"/>
          <w:szCs w:val="16"/>
          <w:lang w:val="pl-PL"/>
        </w:rPr>
        <w:t xml:space="preserve">W </w:t>
      </w:r>
      <w:proofErr w:type="spellStart"/>
      <w:r w:rsidRPr="00F41FAD">
        <w:rPr>
          <w:rStyle w:val="Brak"/>
          <w:rFonts w:ascii="Tahoma" w:eastAsia="Tahoma" w:hAnsi="Tahoma" w:cs="Tahoma"/>
          <w:color w:val="000000" w:themeColor="text1"/>
          <w:sz w:val="16"/>
          <w:szCs w:val="16"/>
          <w:lang w:val="pl-PL"/>
        </w:rPr>
        <w:t>Randstad</w:t>
      </w:r>
      <w:proofErr w:type="spellEnd"/>
      <w:r w:rsidRPr="00F41FAD">
        <w:rPr>
          <w:rStyle w:val="Brak"/>
          <w:rFonts w:ascii="Tahoma" w:eastAsia="Tahoma" w:hAnsi="Tahoma" w:cs="Tahoma"/>
          <w:color w:val="000000" w:themeColor="text1"/>
          <w:sz w:val="16"/>
          <w:szCs w:val="16"/>
          <w:lang w:val="pl-PL"/>
        </w:rPr>
        <w:t xml:space="preserve"> działamy globalnie – na 39 rynkach świata, ale także lokalnie, wspierając talenty i klientów w blisko 100 biurach w Polsce.</w:t>
      </w:r>
    </w:p>
    <w:p w14:paraId="59FB4DCF" w14:textId="77777777" w:rsidR="00EC6114" w:rsidRPr="00010C3C" w:rsidRDefault="00EC6114" w:rsidP="00C60E86">
      <w:pPr>
        <w:pStyle w:val="HeaderAddress"/>
        <w:spacing w:line="276" w:lineRule="auto"/>
        <w:rPr>
          <w:rStyle w:val="Brak"/>
          <w:kern w:val="16"/>
          <w:lang w:val="pl-PL"/>
        </w:rPr>
      </w:pPr>
    </w:p>
    <w:p w14:paraId="18E4E886" w14:textId="77777777" w:rsidR="00EC6114" w:rsidRPr="00010C3C" w:rsidRDefault="00EC6114" w:rsidP="00C60E86">
      <w:pPr>
        <w:pStyle w:val="HeaderAddress"/>
        <w:spacing w:line="276" w:lineRule="auto"/>
        <w:rPr>
          <w:lang w:val="pl-PL"/>
        </w:rPr>
      </w:pPr>
      <w:r w:rsidRPr="00010C3C">
        <w:rPr>
          <w:rStyle w:val="Brak"/>
          <w:kern w:val="16"/>
          <w:lang w:val="pl-PL"/>
        </w:rPr>
        <w:t xml:space="preserve">Więcej informacji o firmie: </w:t>
      </w:r>
      <w:hyperlink r:id="rId12" w:history="1">
        <w:r w:rsidRPr="00010C3C">
          <w:rPr>
            <w:rStyle w:val="Hyperlink1"/>
            <w:lang w:val="pl-PL"/>
          </w:rPr>
          <w:t>www.randstad.pl</w:t>
        </w:r>
      </w:hyperlink>
    </w:p>
    <w:p w14:paraId="1F43DC4D" w14:textId="23F1AA21" w:rsidR="005F07BC" w:rsidRPr="00010C3C" w:rsidRDefault="005F07BC" w:rsidP="00204078">
      <w:pPr>
        <w:pStyle w:val="HeaderAddress"/>
        <w:spacing w:line="276" w:lineRule="auto"/>
        <w:jc w:val="both"/>
        <w:rPr>
          <w:lang w:val="pl-PL"/>
        </w:rPr>
      </w:pPr>
    </w:p>
    <w:sectPr w:rsidR="005F07BC" w:rsidRPr="00010C3C" w:rsidSect="0035569F">
      <w:headerReference w:type="default" r:id="rId13"/>
      <w:footerReference w:type="default" r:id="rId14"/>
      <w:headerReference w:type="first" r:id="rId15"/>
      <w:footerReference w:type="first" r:id="rId16"/>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83904" w14:textId="77777777" w:rsidR="001018E3" w:rsidRDefault="001018E3">
      <w:r>
        <w:separator/>
      </w:r>
    </w:p>
  </w:endnote>
  <w:endnote w:type="continuationSeparator" w:id="0">
    <w:p w14:paraId="17CE79D7" w14:textId="77777777" w:rsidR="001018E3" w:rsidRDefault="0010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Bold">
    <w:altName w:val="Tahoma"/>
    <w:charset w:val="01"/>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976D85" w:rsidRDefault="00976D85">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197DA6">
      <w:rPr>
        <w:rFonts w:ascii="Tahoma Bold" w:eastAsia="Tahoma Bold" w:hAnsi="Tahoma Bold" w:cs="Tahoma Bold"/>
        <w:noProof/>
      </w:rPr>
      <w:t>5</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197DA6">
      <w:rPr>
        <w:rFonts w:ascii="Tahoma Bold" w:eastAsia="Tahoma Bold" w:hAnsi="Tahoma Bold" w:cs="Tahoma Bold"/>
        <w:noProof/>
      </w:rPr>
      <w:t>5</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976D85" w:rsidRDefault="00976D85">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197DA6">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197DA6">
      <w:rPr>
        <w:rFonts w:ascii="Tahoma Bold" w:eastAsia="Tahoma Bold" w:hAnsi="Tahoma Bold" w:cs="Tahoma Bold"/>
        <w:noProof/>
      </w:rPr>
      <w:t>5</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B6D86" w14:textId="77777777" w:rsidR="001018E3" w:rsidRDefault="001018E3">
      <w:r>
        <w:separator/>
      </w:r>
    </w:p>
  </w:footnote>
  <w:footnote w:type="continuationSeparator" w:id="0">
    <w:p w14:paraId="614D00E6" w14:textId="77777777" w:rsidR="001018E3" w:rsidRDefault="0010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976D85" w:rsidRDefault="00976D85">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DD151D1">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976D85" w:rsidRDefault="00976D85">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0C329C9">
            <v:roundrect id="officeArt object"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o:spid="_x0000_s1026" stroked="f" strokeweight="1pt" arcsize="0" w14:anchorId="1164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74047"/>
    <w:multiLevelType w:val="hybridMultilevel"/>
    <w:tmpl w:val="449CA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2267F28"/>
    <w:multiLevelType w:val="hybridMultilevel"/>
    <w:tmpl w:val="694E36D2"/>
    <w:lvl w:ilvl="0" w:tplc="A1D62F5C">
      <w:numFmt w:val="bullet"/>
      <w:lvlText w:val="•"/>
      <w:lvlJc w:val="left"/>
      <w:pPr>
        <w:ind w:left="1065" w:hanging="705"/>
      </w:pPr>
      <w:rPr>
        <w:rFonts w:ascii="Tahoma" w:eastAsia="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03FE1"/>
    <w:rsid w:val="00010C3C"/>
    <w:rsid w:val="000134D6"/>
    <w:rsid w:val="00022875"/>
    <w:rsid w:val="000268DF"/>
    <w:rsid w:val="00031078"/>
    <w:rsid w:val="00043630"/>
    <w:rsid w:val="000A0366"/>
    <w:rsid w:val="000C51CB"/>
    <w:rsid w:val="000D2386"/>
    <w:rsid w:val="000D799A"/>
    <w:rsid w:val="000E0491"/>
    <w:rsid w:val="001018E3"/>
    <w:rsid w:val="00121A37"/>
    <w:rsid w:val="001304D7"/>
    <w:rsid w:val="0013077C"/>
    <w:rsid w:val="00130B47"/>
    <w:rsid w:val="0013373E"/>
    <w:rsid w:val="00142FAE"/>
    <w:rsid w:val="00146816"/>
    <w:rsid w:val="00147CD0"/>
    <w:rsid w:val="0016511E"/>
    <w:rsid w:val="001659BF"/>
    <w:rsid w:val="00175342"/>
    <w:rsid w:val="00177702"/>
    <w:rsid w:val="00177D80"/>
    <w:rsid w:val="00180B5F"/>
    <w:rsid w:val="001846AC"/>
    <w:rsid w:val="00186E9C"/>
    <w:rsid w:val="00197DA6"/>
    <w:rsid w:val="001A5D37"/>
    <w:rsid w:val="001A7186"/>
    <w:rsid w:val="001C36C1"/>
    <w:rsid w:val="001D0594"/>
    <w:rsid w:val="001D64D3"/>
    <w:rsid w:val="001E4587"/>
    <w:rsid w:val="001E4F6E"/>
    <w:rsid w:val="001F04D6"/>
    <w:rsid w:val="001F35B2"/>
    <w:rsid w:val="00204078"/>
    <w:rsid w:val="0021104B"/>
    <w:rsid w:val="00214F06"/>
    <w:rsid w:val="00215D40"/>
    <w:rsid w:val="00224D71"/>
    <w:rsid w:val="002331E8"/>
    <w:rsid w:val="00234766"/>
    <w:rsid w:val="00240296"/>
    <w:rsid w:val="00246395"/>
    <w:rsid w:val="0025451F"/>
    <w:rsid w:val="00264333"/>
    <w:rsid w:val="00265F1C"/>
    <w:rsid w:val="002A4EA1"/>
    <w:rsid w:val="002A56EE"/>
    <w:rsid w:val="002B0F9D"/>
    <w:rsid w:val="002B483D"/>
    <w:rsid w:val="002C0215"/>
    <w:rsid w:val="002C6A66"/>
    <w:rsid w:val="002D240D"/>
    <w:rsid w:val="002D5430"/>
    <w:rsid w:val="002D7F8F"/>
    <w:rsid w:val="002E46DB"/>
    <w:rsid w:val="002F43FF"/>
    <w:rsid w:val="00303853"/>
    <w:rsid w:val="003070A3"/>
    <w:rsid w:val="00310AFE"/>
    <w:rsid w:val="00317ECB"/>
    <w:rsid w:val="003242A2"/>
    <w:rsid w:val="003337FE"/>
    <w:rsid w:val="003510DC"/>
    <w:rsid w:val="00351125"/>
    <w:rsid w:val="00353299"/>
    <w:rsid w:val="0035569F"/>
    <w:rsid w:val="00360301"/>
    <w:rsid w:val="00365DE3"/>
    <w:rsid w:val="00370906"/>
    <w:rsid w:val="003742E1"/>
    <w:rsid w:val="00375D6F"/>
    <w:rsid w:val="0037644F"/>
    <w:rsid w:val="00381B08"/>
    <w:rsid w:val="003840BF"/>
    <w:rsid w:val="0038454C"/>
    <w:rsid w:val="00385B56"/>
    <w:rsid w:val="003A7E5E"/>
    <w:rsid w:val="003B0A28"/>
    <w:rsid w:val="003B6924"/>
    <w:rsid w:val="003C0914"/>
    <w:rsid w:val="003D0BB8"/>
    <w:rsid w:val="003D0C5C"/>
    <w:rsid w:val="003D3AF4"/>
    <w:rsid w:val="003F0255"/>
    <w:rsid w:val="003F5152"/>
    <w:rsid w:val="003F6134"/>
    <w:rsid w:val="00404678"/>
    <w:rsid w:val="004158BC"/>
    <w:rsid w:val="00416F9A"/>
    <w:rsid w:val="0042001B"/>
    <w:rsid w:val="0043115F"/>
    <w:rsid w:val="00432660"/>
    <w:rsid w:val="00433D10"/>
    <w:rsid w:val="0043650F"/>
    <w:rsid w:val="0045606A"/>
    <w:rsid w:val="0046172B"/>
    <w:rsid w:val="00463852"/>
    <w:rsid w:val="004748DE"/>
    <w:rsid w:val="0048147D"/>
    <w:rsid w:val="00487C9A"/>
    <w:rsid w:val="004B544D"/>
    <w:rsid w:val="004D1AAA"/>
    <w:rsid w:val="004D794C"/>
    <w:rsid w:val="004E24EE"/>
    <w:rsid w:val="004E32F0"/>
    <w:rsid w:val="004F3B0C"/>
    <w:rsid w:val="004F6E10"/>
    <w:rsid w:val="005019D4"/>
    <w:rsid w:val="005062BC"/>
    <w:rsid w:val="00514063"/>
    <w:rsid w:val="00520BBB"/>
    <w:rsid w:val="005276CD"/>
    <w:rsid w:val="00542483"/>
    <w:rsid w:val="00547E5E"/>
    <w:rsid w:val="00573353"/>
    <w:rsid w:val="00577735"/>
    <w:rsid w:val="0058205A"/>
    <w:rsid w:val="00584612"/>
    <w:rsid w:val="005859C5"/>
    <w:rsid w:val="00597CEE"/>
    <w:rsid w:val="005A7FE7"/>
    <w:rsid w:val="005B1C23"/>
    <w:rsid w:val="005C06ED"/>
    <w:rsid w:val="005C0B78"/>
    <w:rsid w:val="005D54B6"/>
    <w:rsid w:val="005E6669"/>
    <w:rsid w:val="005E7F1A"/>
    <w:rsid w:val="005F07BC"/>
    <w:rsid w:val="005F3239"/>
    <w:rsid w:val="005F39B8"/>
    <w:rsid w:val="005F5D54"/>
    <w:rsid w:val="00605543"/>
    <w:rsid w:val="00610B7D"/>
    <w:rsid w:val="0061581B"/>
    <w:rsid w:val="00621FAD"/>
    <w:rsid w:val="006241DF"/>
    <w:rsid w:val="00631479"/>
    <w:rsid w:val="006320D8"/>
    <w:rsid w:val="0063370F"/>
    <w:rsid w:val="006579BA"/>
    <w:rsid w:val="00675B90"/>
    <w:rsid w:val="006802EC"/>
    <w:rsid w:val="00693603"/>
    <w:rsid w:val="00697EEB"/>
    <w:rsid w:val="006B6A7C"/>
    <w:rsid w:val="006D3618"/>
    <w:rsid w:val="006F4B4E"/>
    <w:rsid w:val="006F590D"/>
    <w:rsid w:val="00700FEB"/>
    <w:rsid w:val="00707155"/>
    <w:rsid w:val="00707825"/>
    <w:rsid w:val="00721CCD"/>
    <w:rsid w:val="00723A36"/>
    <w:rsid w:val="00723D42"/>
    <w:rsid w:val="00736DA3"/>
    <w:rsid w:val="007542C0"/>
    <w:rsid w:val="00763AC6"/>
    <w:rsid w:val="00764CC4"/>
    <w:rsid w:val="0076701C"/>
    <w:rsid w:val="0077048E"/>
    <w:rsid w:val="0077209F"/>
    <w:rsid w:val="0077234A"/>
    <w:rsid w:val="00773998"/>
    <w:rsid w:val="0078311F"/>
    <w:rsid w:val="0078545A"/>
    <w:rsid w:val="00790E02"/>
    <w:rsid w:val="00797C9E"/>
    <w:rsid w:val="007A2C0F"/>
    <w:rsid w:val="007A6606"/>
    <w:rsid w:val="007B0168"/>
    <w:rsid w:val="007B11D0"/>
    <w:rsid w:val="007B5969"/>
    <w:rsid w:val="007B636C"/>
    <w:rsid w:val="007C5CE4"/>
    <w:rsid w:val="007C6562"/>
    <w:rsid w:val="007E2DBF"/>
    <w:rsid w:val="007E321F"/>
    <w:rsid w:val="007F0169"/>
    <w:rsid w:val="007F0276"/>
    <w:rsid w:val="00803A88"/>
    <w:rsid w:val="008045F5"/>
    <w:rsid w:val="0081086C"/>
    <w:rsid w:val="00813DE5"/>
    <w:rsid w:val="008236A9"/>
    <w:rsid w:val="00824D78"/>
    <w:rsid w:val="00836116"/>
    <w:rsid w:val="00853636"/>
    <w:rsid w:val="00860003"/>
    <w:rsid w:val="00864817"/>
    <w:rsid w:val="008660FC"/>
    <w:rsid w:val="00870BD0"/>
    <w:rsid w:val="008A192E"/>
    <w:rsid w:val="008A2A9C"/>
    <w:rsid w:val="008A2B8B"/>
    <w:rsid w:val="008C7897"/>
    <w:rsid w:val="008D0974"/>
    <w:rsid w:val="008E2C56"/>
    <w:rsid w:val="008F1184"/>
    <w:rsid w:val="008F46B0"/>
    <w:rsid w:val="008F61BE"/>
    <w:rsid w:val="009219AA"/>
    <w:rsid w:val="00922553"/>
    <w:rsid w:val="0092592A"/>
    <w:rsid w:val="00925B4D"/>
    <w:rsid w:val="009340B6"/>
    <w:rsid w:val="00935D82"/>
    <w:rsid w:val="0093775D"/>
    <w:rsid w:val="009446B1"/>
    <w:rsid w:val="00952F8E"/>
    <w:rsid w:val="00962484"/>
    <w:rsid w:val="00962A6C"/>
    <w:rsid w:val="00975A4A"/>
    <w:rsid w:val="00976D85"/>
    <w:rsid w:val="00983185"/>
    <w:rsid w:val="0099683F"/>
    <w:rsid w:val="009A1744"/>
    <w:rsid w:val="009B0B08"/>
    <w:rsid w:val="009B33CD"/>
    <w:rsid w:val="009C4F7D"/>
    <w:rsid w:val="009C6A6E"/>
    <w:rsid w:val="009F4350"/>
    <w:rsid w:val="009F5AEE"/>
    <w:rsid w:val="00A155BA"/>
    <w:rsid w:val="00A16205"/>
    <w:rsid w:val="00A21348"/>
    <w:rsid w:val="00A2303D"/>
    <w:rsid w:val="00A2577A"/>
    <w:rsid w:val="00A35425"/>
    <w:rsid w:val="00A633EF"/>
    <w:rsid w:val="00A66A6F"/>
    <w:rsid w:val="00A87157"/>
    <w:rsid w:val="00A955C1"/>
    <w:rsid w:val="00A96764"/>
    <w:rsid w:val="00A96AAD"/>
    <w:rsid w:val="00A97AA3"/>
    <w:rsid w:val="00A97EF0"/>
    <w:rsid w:val="00AB05F3"/>
    <w:rsid w:val="00AB3B20"/>
    <w:rsid w:val="00AD0572"/>
    <w:rsid w:val="00AF4FBF"/>
    <w:rsid w:val="00AF5B08"/>
    <w:rsid w:val="00B0099F"/>
    <w:rsid w:val="00B00CE0"/>
    <w:rsid w:val="00B15410"/>
    <w:rsid w:val="00B37168"/>
    <w:rsid w:val="00B51A74"/>
    <w:rsid w:val="00B63B65"/>
    <w:rsid w:val="00B6615D"/>
    <w:rsid w:val="00B7417F"/>
    <w:rsid w:val="00B800AA"/>
    <w:rsid w:val="00B83123"/>
    <w:rsid w:val="00B84D73"/>
    <w:rsid w:val="00B95AAA"/>
    <w:rsid w:val="00BA0DA7"/>
    <w:rsid w:val="00BA7147"/>
    <w:rsid w:val="00BC4927"/>
    <w:rsid w:val="00BD4E30"/>
    <w:rsid w:val="00BF2FB8"/>
    <w:rsid w:val="00BF543E"/>
    <w:rsid w:val="00C05314"/>
    <w:rsid w:val="00C14045"/>
    <w:rsid w:val="00C26E31"/>
    <w:rsid w:val="00C27EAD"/>
    <w:rsid w:val="00C313B6"/>
    <w:rsid w:val="00C410C3"/>
    <w:rsid w:val="00C44FA1"/>
    <w:rsid w:val="00C46260"/>
    <w:rsid w:val="00C54DCB"/>
    <w:rsid w:val="00C60E86"/>
    <w:rsid w:val="00C665E3"/>
    <w:rsid w:val="00C73E88"/>
    <w:rsid w:val="00C75950"/>
    <w:rsid w:val="00C868C8"/>
    <w:rsid w:val="00C921DD"/>
    <w:rsid w:val="00C93FBD"/>
    <w:rsid w:val="00C9419D"/>
    <w:rsid w:val="00CB0713"/>
    <w:rsid w:val="00CB5CE7"/>
    <w:rsid w:val="00CC5255"/>
    <w:rsid w:val="00CC6F38"/>
    <w:rsid w:val="00CD3D51"/>
    <w:rsid w:val="00CE2471"/>
    <w:rsid w:val="00CF21DC"/>
    <w:rsid w:val="00CF4154"/>
    <w:rsid w:val="00CF4426"/>
    <w:rsid w:val="00D02AA5"/>
    <w:rsid w:val="00D277F5"/>
    <w:rsid w:val="00D42F73"/>
    <w:rsid w:val="00D46108"/>
    <w:rsid w:val="00D47C99"/>
    <w:rsid w:val="00D5076F"/>
    <w:rsid w:val="00D50ABE"/>
    <w:rsid w:val="00D51025"/>
    <w:rsid w:val="00D67E4E"/>
    <w:rsid w:val="00D72017"/>
    <w:rsid w:val="00D81560"/>
    <w:rsid w:val="00D85F1F"/>
    <w:rsid w:val="00D927FA"/>
    <w:rsid w:val="00D9735B"/>
    <w:rsid w:val="00DB463B"/>
    <w:rsid w:val="00DB7733"/>
    <w:rsid w:val="00DB7BD8"/>
    <w:rsid w:val="00DD3BDD"/>
    <w:rsid w:val="00DD5993"/>
    <w:rsid w:val="00DD5B6D"/>
    <w:rsid w:val="00DE2530"/>
    <w:rsid w:val="00DE3A66"/>
    <w:rsid w:val="00DF38BC"/>
    <w:rsid w:val="00E01A19"/>
    <w:rsid w:val="00E151AE"/>
    <w:rsid w:val="00E15FAC"/>
    <w:rsid w:val="00E27618"/>
    <w:rsid w:val="00E33574"/>
    <w:rsid w:val="00E50324"/>
    <w:rsid w:val="00E5504D"/>
    <w:rsid w:val="00E677E3"/>
    <w:rsid w:val="00E71E6E"/>
    <w:rsid w:val="00E7548A"/>
    <w:rsid w:val="00E76F55"/>
    <w:rsid w:val="00E837A2"/>
    <w:rsid w:val="00E870CF"/>
    <w:rsid w:val="00E90F83"/>
    <w:rsid w:val="00E94A77"/>
    <w:rsid w:val="00E9531B"/>
    <w:rsid w:val="00E977BB"/>
    <w:rsid w:val="00EAB523"/>
    <w:rsid w:val="00EB79D5"/>
    <w:rsid w:val="00EC6114"/>
    <w:rsid w:val="00ED5A4B"/>
    <w:rsid w:val="00EE68C6"/>
    <w:rsid w:val="00EE7EFD"/>
    <w:rsid w:val="00EF0263"/>
    <w:rsid w:val="00EF149E"/>
    <w:rsid w:val="00EF2FFC"/>
    <w:rsid w:val="00F0219E"/>
    <w:rsid w:val="00F12DF5"/>
    <w:rsid w:val="00F17AFA"/>
    <w:rsid w:val="00F2106B"/>
    <w:rsid w:val="00F34119"/>
    <w:rsid w:val="00F35750"/>
    <w:rsid w:val="00F37268"/>
    <w:rsid w:val="00F40DA2"/>
    <w:rsid w:val="00F41FAD"/>
    <w:rsid w:val="00F50789"/>
    <w:rsid w:val="00F53A39"/>
    <w:rsid w:val="00F54AE7"/>
    <w:rsid w:val="00F56CC3"/>
    <w:rsid w:val="00F65F0E"/>
    <w:rsid w:val="00F73F67"/>
    <w:rsid w:val="00F77432"/>
    <w:rsid w:val="00F834A0"/>
    <w:rsid w:val="00F90D20"/>
    <w:rsid w:val="00F92048"/>
    <w:rsid w:val="00FA0B1E"/>
    <w:rsid w:val="00FA687D"/>
    <w:rsid w:val="00FB0AF1"/>
    <w:rsid w:val="00FB1457"/>
    <w:rsid w:val="00FB33E2"/>
    <w:rsid w:val="00FB3CE1"/>
    <w:rsid w:val="00FB412C"/>
    <w:rsid w:val="00FC6530"/>
    <w:rsid w:val="00FF0272"/>
    <w:rsid w:val="00FF627C"/>
    <w:rsid w:val="01206AC2"/>
    <w:rsid w:val="01F0C202"/>
    <w:rsid w:val="025A8865"/>
    <w:rsid w:val="02A96B26"/>
    <w:rsid w:val="02BAFD1D"/>
    <w:rsid w:val="02CDF4C6"/>
    <w:rsid w:val="02E8C71A"/>
    <w:rsid w:val="02F55C5F"/>
    <w:rsid w:val="03A64E02"/>
    <w:rsid w:val="03E71DEF"/>
    <w:rsid w:val="046E0064"/>
    <w:rsid w:val="04FEF5E3"/>
    <w:rsid w:val="054D0720"/>
    <w:rsid w:val="0619BD81"/>
    <w:rsid w:val="067EB264"/>
    <w:rsid w:val="07AF878A"/>
    <w:rsid w:val="07DAE3AC"/>
    <w:rsid w:val="0884AD26"/>
    <w:rsid w:val="0A0A0D01"/>
    <w:rsid w:val="0B248BCE"/>
    <w:rsid w:val="0B9609BB"/>
    <w:rsid w:val="0BBD9EE3"/>
    <w:rsid w:val="0BE4F05E"/>
    <w:rsid w:val="0C61F999"/>
    <w:rsid w:val="0D4D3A59"/>
    <w:rsid w:val="0D56E588"/>
    <w:rsid w:val="0D665341"/>
    <w:rsid w:val="0E8821EB"/>
    <w:rsid w:val="0F3C6819"/>
    <w:rsid w:val="0FA5CD3F"/>
    <w:rsid w:val="0FC211FD"/>
    <w:rsid w:val="103337EE"/>
    <w:rsid w:val="10743081"/>
    <w:rsid w:val="10EC101B"/>
    <w:rsid w:val="113C93DD"/>
    <w:rsid w:val="116291FF"/>
    <w:rsid w:val="11AC14E9"/>
    <w:rsid w:val="11D9BDC2"/>
    <w:rsid w:val="121AC447"/>
    <w:rsid w:val="12956F0F"/>
    <w:rsid w:val="12D022B9"/>
    <w:rsid w:val="12D25031"/>
    <w:rsid w:val="137D72E1"/>
    <w:rsid w:val="13EBA531"/>
    <w:rsid w:val="14A3A04F"/>
    <w:rsid w:val="15729CC8"/>
    <w:rsid w:val="1579338D"/>
    <w:rsid w:val="15C4D46E"/>
    <w:rsid w:val="161F87A4"/>
    <w:rsid w:val="16432701"/>
    <w:rsid w:val="17827B49"/>
    <w:rsid w:val="179A0683"/>
    <w:rsid w:val="180E598F"/>
    <w:rsid w:val="18FBB460"/>
    <w:rsid w:val="1942BF63"/>
    <w:rsid w:val="194F36A3"/>
    <w:rsid w:val="19CCFA9F"/>
    <w:rsid w:val="19F07958"/>
    <w:rsid w:val="1A35CD7A"/>
    <w:rsid w:val="1A701BC4"/>
    <w:rsid w:val="1A93F9FA"/>
    <w:rsid w:val="1ABEF259"/>
    <w:rsid w:val="1AC1E687"/>
    <w:rsid w:val="1AC98BE6"/>
    <w:rsid w:val="1B96B4A1"/>
    <w:rsid w:val="1BB0F7D0"/>
    <w:rsid w:val="1C2ACF3F"/>
    <w:rsid w:val="1C3EFD22"/>
    <w:rsid w:val="1C693BD9"/>
    <w:rsid w:val="1CE065D4"/>
    <w:rsid w:val="1CEAC326"/>
    <w:rsid w:val="1D6426CF"/>
    <w:rsid w:val="1D80C1AF"/>
    <w:rsid w:val="1DDD846F"/>
    <w:rsid w:val="1EA7BD45"/>
    <w:rsid w:val="1EF8F7D5"/>
    <w:rsid w:val="1FDFCCB0"/>
    <w:rsid w:val="204E430F"/>
    <w:rsid w:val="208732DE"/>
    <w:rsid w:val="2151345B"/>
    <w:rsid w:val="2257B98D"/>
    <w:rsid w:val="22B0E497"/>
    <w:rsid w:val="22D7506F"/>
    <w:rsid w:val="230FC05C"/>
    <w:rsid w:val="232530DC"/>
    <w:rsid w:val="2337EDB5"/>
    <w:rsid w:val="234B3623"/>
    <w:rsid w:val="23744EE7"/>
    <w:rsid w:val="238D3490"/>
    <w:rsid w:val="23CD60FC"/>
    <w:rsid w:val="240050F9"/>
    <w:rsid w:val="24581EDB"/>
    <w:rsid w:val="257A754D"/>
    <w:rsid w:val="257FF7C8"/>
    <w:rsid w:val="277262C4"/>
    <w:rsid w:val="27DE4D39"/>
    <w:rsid w:val="28901A03"/>
    <w:rsid w:val="28B8C42E"/>
    <w:rsid w:val="29819BFA"/>
    <w:rsid w:val="29F61194"/>
    <w:rsid w:val="2A18C4D7"/>
    <w:rsid w:val="2A2FC801"/>
    <w:rsid w:val="2ADC08CD"/>
    <w:rsid w:val="2AEB1850"/>
    <w:rsid w:val="2B43C294"/>
    <w:rsid w:val="2C729ECB"/>
    <w:rsid w:val="2CD86E19"/>
    <w:rsid w:val="2D6AFF4E"/>
    <w:rsid w:val="2DA10A2D"/>
    <w:rsid w:val="2DA1B7D7"/>
    <w:rsid w:val="2DE2B6B0"/>
    <w:rsid w:val="2DF45A0B"/>
    <w:rsid w:val="2E987ADC"/>
    <w:rsid w:val="2EB95B30"/>
    <w:rsid w:val="2F12C87C"/>
    <w:rsid w:val="2F3B519C"/>
    <w:rsid w:val="2FC9A3C5"/>
    <w:rsid w:val="2FFCC78C"/>
    <w:rsid w:val="31659B8A"/>
    <w:rsid w:val="324E2A16"/>
    <w:rsid w:val="325DD561"/>
    <w:rsid w:val="32EC75E0"/>
    <w:rsid w:val="33257295"/>
    <w:rsid w:val="3342FC76"/>
    <w:rsid w:val="335C9A50"/>
    <w:rsid w:val="342D0954"/>
    <w:rsid w:val="343926C3"/>
    <w:rsid w:val="34417AE0"/>
    <w:rsid w:val="3447F93F"/>
    <w:rsid w:val="34EFF96D"/>
    <w:rsid w:val="35230594"/>
    <w:rsid w:val="353F2B1E"/>
    <w:rsid w:val="35B36848"/>
    <w:rsid w:val="35B643B0"/>
    <w:rsid w:val="360662AC"/>
    <w:rsid w:val="362BBE99"/>
    <w:rsid w:val="365EAEB7"/>
    <w:rsid w:val="380B8CC1"/>
    <w:rsid w:val="388DFC49"/>
    <w:rsid w:val="392A4449"/>
    <w:rsid w:val="39893164"/>
    <w:rsid w:val="399D98E3"/>
    <w:rsid w:val="39AB54B7"/>
    <w:rsid w:val="3ADD0400"/>
    <w:rsid w:val="3B896713"/>
    <w:rsid w:val="3BE9399E"/>
    <w:rsid w:val="3C766EFE"/>
    <w:rsid w:val="3CB9C453"/>
    <w:rsid w:val="3CF2BB0F"/>
    <w:rsid w:val="3D563C40"/>
    <w:rsid w:val="3D853499"/>
    <w:rsid w:val="3E0BDFBE"/>
    <w:rsid w:val="3EC1CAD1"/>
    <w:rsid w:val="3EF001F7"/>
    <w:rsid w:val="3FAC7B87"/>
    <w:rsid w:val="401E33CD"/>
    <w:rsid w:val="40D41484"/>
    <w:rsid w:val="41323F76"/>
    <w:rsid w:val="41E65E20"/>
    <w:rsid w:val="42481AAD"/>
    <w:rsid w:val="425B6191"/>
    <w:rsid w:val="428A68AD"/>
    <w:rsid w:val="42F019EF"/>
    <w:rsid w:val="436A0EEC"/>
    <w:rsid w:val="43A555B3"/>
    <w:rsid w:val="43C58FDF"/>
    <w:rsid w:val="443CF3D4"/>
    <w:rsid w:val="4441BD20"/>
    <w:rsid w:val="44583397"/>
    <w:rsid w:val="448128D4"/>
    <w:rsid w:val="44DB229D"/>
    <w:rsid w:val="456E06E4"/>
    <w:rsid w:val="45A72418"/>
    <w:rsid w:val="45DE1F88"/>
    <w:rsid w:val="4631B7C0"/>
    <w:rsid w:val="47884B62"/>
    <w:rsid w:val="47E81594"/>
    <w:rsid w:val="4862F0A5"/>
    <w:rsid w:val="48ED3A7F"/>
    <w:rsid w:val="499D7F50"/>
    <w:rsid w:val="4A233BDD"/>
    <w:rsid w:val="4AB47F88"/>
    <w:rsid w:val="4B491872"/>
    <w:rsid w:val="4B57BCDF"/>
    <w:rsid w:val="4B676E7F"/>
    <w:rsid w:val="4C3598C3"/>
    <w:rsid w:val="4CC62405"/>
    <w:rsid w:val="4D5FEFDD"/>
    <w:rsid w:val="4D9DA1B4"/>
    <w:rsid w:val="4DED7898"/>
    <w:rsid w:val="4DFB370A"/>
    <w:rsid w:val="4F6E692A"/>
    <w:rsid w:val="4F802C4F"/>
    <w:rsid w:val="4FBEB8C2"/>
    <w:rsid w:val="5042B694"/>
    <w:rsid w:val="50E7137D"/>
    <w:rsid w:val="5188117C"/>
    <w:rsid w:val="51FD5322"/>
    <w:rsid w:val="524EAAFF"/>
    <w:rsid w:val="5290F8B7"/>
    <w:rsid w:val="52AB4D55"/>
    <w:rsid w:val="52FCEA42"/>
    <w:rsid w:val="5301E406"/>
    <w:rsid w:val="531E2150"/>
    <w:rsid w:val="53962962"/>
    <w:rsid w:val="5532DB40"/>
    <w:rsid w:val="5532F44F"/>
    <w:rsid w:val="55641349"/>
    <w:rsid w:val="561E171F"/>
    <w:rsid w:val="564C5EB5"/>
    <w:rsid w:val="56CF2DD8"/>
    <w:rsid w:val="57D63E00"/>
    <w:rsid w:val="580F6E62"/>
    <w:rsid w:val="58518067"/>
    <w:rsid w:val="58576C91"/>
    <w:rsid w:val="58676C61"/>
    <w:rsid w:val="58F13DB5"/>
    <w:rsid w:val="59090D17"/>
    <w:rsid w:val="5967D9AB"/>
    <w:rsid w:val="59842A81"/>
    <w:rsid w:val="59EC1D8B"/>
    <w:rsid w:val="5A2AAE63"/>
    <w:rsid w:val="5A82869B"/>
    <w:rsid w:val="5AB38170"/>
    <w:rsid w:val="5AD72D05"/>
    <w:rsid w:val="5AF23FEA"/>
    <w:rsid w:val="5B236645"/>
    <w:rsid w:val="5B32F719"/>
    <w:rsid w:val="5B3F2A14"/>
    <w:rsid w:val="5B4EDB89"/>
    <w:rsid w:val="5B808CE6"/>
    <w:rsid w:val="5BB1C17D"/>
    <w:rsid w:val="5BFF2441"/>
    <w:rsid w:val="5C06E1FF"/>
    <w:rsid w:val="5CBF36A6"/>
    <w:rsid w:val="5D5BAE10"/>
    <w:rsid w:val="5E221D21"/>
    <w:rsid w:val="5E4A65D7"/>
    <w:rsid w:val="5E53F44B"/>
    <w:rsid w:val="5E64CEBB"/>
    <w:rsid w:val="5EFBB4D1"/>
    <w:rsid w:val="5F3D09D6"/>
    <w:rsid w:val="5F4F8F5F"/>
    <w:rsid w:val="5FCC884C"/>
    <w:rsid w:val="5FE93B20"/>
    <w:rsid w:val="603CCA76"/>
    <w:rsid w:val="608009F8"/>
    <w:rsid w:val="60D3F8DC"/>
    <w:rsid w:val="60EB64C8"/>
    <w:rsid w:val="611E38BE"/>
    <w:rsid w:val="61395125"/>
    <w:rsid w:val="6200E753"/>
    <w:rsid w:val="6204DB3A"/>
    <w:rsid w:val="626E3256"/>
    <w:rsid w:val="6271DE22"/>
    <w:rsid w:val="62F6D2AF"/>
    <w:rsid w:val="633FCCB5"/>
    <w:rsid w:val="63BC04CB"/>
    <w:rsid w:val="6424FFF1"/>
    <w:rsid w:val="644E2F04"/>
    <w:rsid w:val="64F49967"/>
    <w:rsid w:val="665262A4"/>
    <w:rsid w:val="66E02C33"/>
    <w:rsid w:val="67239A11"/>
    <w:rsid w:val="673D4B43"/>
    <w:rsid w:val="673E8004"/>
    <w:rsid w:val="676A7A54"/>
    <w:rsid w:val="68247189"/>
    <w:rsid w:val="68A241F4"/>
    <w:rsid w:val="68F48F4A"/>
    <w:rsid w:val="68F7D74F"/>
    <w:rsid w:val="6A29AD4C"/>
    <w:rsid w:val="6AB9387B"/>
    <w:rsid w:val="6B356D30"/>
    <w:rsid w:val="6BBEF7D2"/>
    <w:rsid w:val="6C076C0D"/>
    <w:rsid w:val="6C83CE28"/>
    <w:rsid w:val="6C90ACC0"/>
    <w:rsid w:val="6CCF6B5F"/>
    <w:rsid w:val="6CF793E7"/>
    <w:rsid w:val="6D694DE7"/>
    <w:rsid w:val="6DE304C7"/>
    <w:rsid w:val="6E2B4DC4"/>
    <w:rsid w:val="6E89F458"/>
    <w:rsid w:val="6EC36C15"/>
    <w:rsid w:val="6ED9DBB9"/>
    <w:rsid w:val="6EE19E9C"/>
    <w:rsid w:val="6EF5D40B"/>
    <w:rsid w:val="6F0C0297"/>
    <w:rsid w:val="6F0CB807"/>
    <w:rsid w:val="6F89D558"/>
    <w:rsid w:val="7033824D"/>
    <w:rsid w:val="70592F14"/>
    <w:rsid w:val="70CD13DC"/>
    <w:rsid w:val="7118A584"/>
    <w:rsid w:val="712E0475"/>
    <w:rsid w:val="71526B10"/>
    <w:rsid w:val="71B75B14"/>
    <w:rsid w:val="71EAFFFB"/>
    <w:rsid w:val="722FE126"/>
    <w:rsid w:val="73CB038D"/>
    <w:rsid w:val="73E74490"/>
    <w:rsid w:val="74BD79C9"/>
    <w:rsid w:val="74DF48E8"/>
    <w:rsid w:val="751DB54A"/>
    <w:rsid w:val="75BA0AC2"/>
    <w:rsid w:val="762EE8CC"/>
    <w:rsid w:val="762F54FB"/>
    <w:rsid w:val="763F2B84"/>
    <w:rsid w:val="77A31713"/>
    <w:rsid w:val="7896CDF1"/>
    <w:rsid w:val="7960B8BB"/>
    <w:rsid w:val="7B31BC0B"/>
    <w:rsid w:val="7C8FEF9F"/>
    <w:rsid w:val="7CB0E349"/>
    <w:rsid w:val="7D2636D8"/>
    <w:rsid w:val="7E5775F0"/>
    <w:rsid w:val="7F094F68"/>
    <w:rsid w:val="7F4B2518"/>
    <w:rsid w:val="7F64AEA2"/>
    <w:rsid w:val="7FA9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qFormat/>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rzypisukocowego">
    <w:name w:val="endnote text"/>
    <w:basedOn w:val="Normalny"/>
    <w:link w:val="TekstprzypisukocowegoZnak"/>
    <w:uiPriority w:val="99"/>
    <w:semiHidden/>
    <w:unhideWhenUsed/>
    <w:rsid w:val="001E4F6E"/>
    <w:rPr>
      <w:sz w:val="20"/>
      <w:szCs w:val="20"/>
    </w:rPr>
  </w:style>
  <w:style w:type="character" w:customStyle="1" w:styleId="TekstprzypisukocowegoZnak">
    <w:name w:val="Tekst przypisu końcowego Znak"/>
    <w:basedOn w:val="Domylnaczcionkaakapitu"/>
    <w:link w:val="Tekstprzypisukocowego"/>
    <w:uiPriority w:val="99"/>
    <w:semiHidden/>
    <w:rsid w:val="001E4F6E"/>
  </w:style>
  <w:style w:type="character" w:styleId="Odwoanieprzypisukocowego">
    <w:name w:val="endnote reference"/>
    <w:basedOn w:val="Domylnaczcionkaakapitu"/>
    <w:uiPriority w:val="99"/>
    <w:semiHidden/>
    <w:unhideWhenUsed/>
    <w:rsid w:val="001E4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642">
      <w:bodyDiv w:val="1"/>
      <w:marLeft w:val="0"/>
      <w:marRight w:val="0"/>
      <w:marTop w:val="0"/>
      <w:marBottom w:val="0"/>
      <w:divBdr>
        <w:top w:val="none" w:sz="0" w:space="0" w:color="auto"/>
        <w:left w:val="none" w:sz="0" w:space="0" w:color="auto"/>
        <w:bottom w:val="none" w:sz="0" w:space="0" w:color="auto"/>
        <w:right w:val="none" w:sz="0" w:space="0" w:color="auto"/>
      </w:divBdr>
      <w:divsChild>
        <w:div w:id="1693994990">
          <w:marLeft w:val="0"/>
          <w:marRight w:val="0"/>
          <w:marTop w:val="0"/>
          <w:marBottom w:val="0"/>
          <w:divBdr>
            <w:top w:val="none" w:sz="0" w:space="0" w:color="auto"/>
            <w:left w:val="none" w:sz="0" w:space="0" w:color="auto"/>
            <w:bottom w:val="none" w:sz="0" w:space="0" w:color="auto"/>
            <w:right w:val="none" w:sz="0" w:space="0" w:color="auto"/>
          </w:divBdr>
        </w:div>
      </w:divsChild>
    </w:div>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79058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ndstad.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usz.zydek@randstad.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806001-f250-4bc2-a379-ef9f7ab61598">
      <UserInfo>
        <DisplayName>Joanna  Lewandowska</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8" ma:contentTypeDescription="Utwórz nowy dokument." ma:contentTypeScope="" ma:versionID="6c5c96df63c5e7c3ad089b031480230b">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9c9f00dbc758703fc413bd2ef9eb8af6"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s>
</ds:datastoreItem>
</file>

<file path=customXml/itemProps2.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3.xml><?xml version="1.0" encoding="utf-8"?>
<ds:datastoreItem xmlns:ds="http://schemas.openxmlformats.org/officeDocument/2006/customXml" ds:itemID="{2F06E553-1144-4DC9-B0D9-519DD827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BD141-3C50-4A0E-B1B2-AD084803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5</Pages>
  <Words>2074</Words>
  <Characters>12450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83</cp:revision>
  <cp:lastPrinted>2022-10-03T08:58:00Z</cp:lastPrinted>
  <dcterms:created xsi:type="dcterms:W3CDTF">2024-10-08T14:37:00Z</dcterms:created>
  <dcterms:modified xsi:type="dcterms:W3CDTF">2025-06-12T15:05:00Z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