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285A1" w14:textId="77777777" w:rsidR="00D72017" w:rsidRDefault="00D72017"/>
    <w:tbl>
      <w:tblPr>
        <w:tblpPr w:leftFromText="141" w:rightFromText="141" w:vertAnchor="text" w:horzAnchor="page" w:tblpX="391" w:tblpY="766"/>
        <w:tblOverlap w:val="never"/>
        <w:tblW w:w="18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3"/>
      </w:tblGrid>
      <w:tr w:rsidR="005F07BC" w:rsidRPr="00EC6A2F" w14:paraId="395A0E5B" w14:textId="77777777" w:rsidTr="02F55C5F">
        <w:trPr>
          <w:trHeight w:val="20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3CCB8F" w14:textId="77ECF799" w:rsidR="005F07BC" w:rsidRPr="00010C3C" w:rsidRDefault="001A7186" w:rsidP="00EC6A2F">
            <w:pPr>
              <w:pStyle w:val="Nagwek21"/>
              <w:tabs>
                <w:tab w:val="clear" w:pos="576"/>
              </w:tabs>
              <w:spacing w:line="276" w:lineRule="auto"/>
              <w:ind w:left="62" w:firstLine="0"/>
              <w:rPr>
                <w:rFonts w:ascii="Tahoma" w:hAnsi="Tahoma" w:cs="Tahoma"/>
                <w:lang w:val="pl-PL"/>
              </w:rPr>
            </w:pPr>
            <w:r w:rsidRPr="59EC1D8B">
              <w:rPr>
                <w:rFonts w:ascii="Tahoma" w:hAnsi="Tahoma" w:cs="Tahoma"/>
                <w:lang w:val="pl-PL"/>
              </w:rPr>
              <w:t>data:</w:t>
            </w:r>
            <w:r>
              <w:br/>
            </w:r>
            <w:r w:rsidR="00EC6A2F">
              <w:rPr>
                <w:sz w:val="16"/>
                <w:szCs w:val="16"/>
              </w:rPr>
              <w:t xml:space="preserve">21 października </w:t>
            </w:r>
            <w:r w:rsidR="00EC6A2F">
              <w:rPr>
                <w:sz w:val="16"/>
                <w:szCs w:val="16"/>
              </w:rPr>
              <w:br/>
            </w:r>
            <w:r w:rsidR="00D72017" w:rsidRPr="59EC1D8B">
              <w:rPr>
                <w:sz w:val="16"/>
                <w:szCs w:val="16"/>
                <w:lang w:val="pl-PL"/>
              </w:rPr>
              <w:t>2025 r.</w:t>
            </w:r>
          </w:p>
        </w:tc>
      </w:tr>
      <w:tr w:rsidR="005F07BC" w:rsidRPr="00EC6A2F" w14:paraId="774417E1" w14:textId="77777777" w:rsidTr="02F55C5F">
        <w:trPr>
          <w:trHeight w:val="23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56" w:type="dxa"/>
              <w:bottom w:w="80" w:type="dxa"/>
              <w:right w:w="80" w:type="dxa"/>
            </w:tcMar>
            <w:vAlign w:val="bottom"/>
          </w:tcPr>
          <w:p w14:paraId="27D6D207" w14:textId="7A6DB566" w:rsidR="005F07BC" w:rsidRPr="00010C3C" w:rsidRDefault="008F46B0" w:rsidP="00D72017">
            <w:pPr>
              <w:pStyle w:val="Nagwek21"/>
              <w:tabs>
                <w:tab w:val="clear" w:pos="576"/>
              </w:tabs>
              <w:spacing w:line="276" w:lineRule="auto"/>
              <w:ind w:left="-514" w:firstLine="0"/>
              <w:rPr>
                <w:rFonts w:ascii="Tahoma" w:hAnsi="Tahoma" w:cs="Tahoma"/>
                <w:lang w:val="pl-PL"/>
              </w:rPr>
            </w:pPr>
            <w:r w:rsidRPr="00010C3C">
              <w:rPr>
                <w:rFonts w:ascii="Tahoma" w:hAnsi="Tahoma" w:cs="Tahoma"/>
                <w:lang w:val="pl-PL"/>
              </w:rPr>
              <w:t>informacje</w:t>
            </w:r>
            <w:r w:rsidR="001A7186" w:rsidRPr="00010C3C">
              <w:rPr>
                <w:rFonts w:ascii="Tahoma" w:hAnsi="Tahoma" w:cs="Tahoma"/>
                <w:lang w:val="pl-PL"/>
              </w:rPr>
              <w:t xml:space="preserve"> dodatkowe:</w:t>
            </w:r>
            <w:r w:rsidR="00D72017">
              <w:rPr>
                <w:rFonts w:ascii="Tahoma" w:hAnsi="Tahoma" w:cs="Tahoma"/>
                <w:lang w:val="pl-PL"/>
              </w:rPr>
              <w:br/>
            </w:r>
            <w:r w:rsidR="00D72017" w:rsidRPr="00010C3C">
              <w:rPr>
                <w:sz w:val="16"/>
                <w:szCs w:val="16"/>
                <w:lang w:val="pl-PL"/>
              </w:rPr>
              <w:t>Mateusz Żydek</w:t>
            </w:r>
          </w:p>
        </w:tc>
      </w:tr>
      <w:tr w:rsidR="005F07BC" w:rsidRPr="00EC6A2F" w14:paraId="528A8D15" w14:textId="77777777" w:rsidTr="02F55C5F">
        <w:trPr>
          <w:trHeight w:val="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56" w:type="dxa"/>
              <w:bottom w:w="80" w:type="dxa"/>
              <w:right w:w="80" w:type="dxa"/>
            </w:tcMar>
          </w:tcPr>
          <w:p w14:paraId="6D4BBF7B" w14:textId="77777777" w:rsidR="005F07BC" w:rsidRDefault="001A7186" w:rsidP="00D72017">
            <w:pPr>
              <w:pStyle w:val="Nagwek21"/>
              <w:spacing w:line="276" w:lineRule="auto"/>
              <w:ind w:left="-514" w:firstLine="0"/>
              <w:rPr>
                <w:rFonts w:ascii="Tahoma" w:hAnsi="Tahoma" w:cs="Tahoma"/>
                <w:lang w:val="pl-PL"/>
              </w:rPr>
            </w:pPr>
            <w:r w:rsidRPr="00010C3C">
              <w:rPr>
                <w:rFonts w:ascii="Tahoma" w:hAnsi="Tahoma" w:cs="Tahoma"/>
                <w:lang w:val="pl-PL"/>
              </w:rPr>
              <w:t>telefon:</w:t>
            </w:r>
          </w:p>
          <w:p w14:paraId="329D2B15" w14:textId="31E12507" w:rsidR="00D72017" w:rsidRPr="00D72017" w:rsidRDefault="2A2FC801" w:rsidP="00D72017">
            <w:pPr>
              <w:pStyle w:val="Normalny1"/>
              <w:spacing w:line="240" w:lineRule="auto"/>
              <w:ind w:left="-514"/>
              <w:rPr>
                <w:lang w:val="pl-PL"/>
              </w:rPr>
            </w:pPr>
            <w:r w:rsidRPr="02F55C5F">
              <w:rPr>
                <w:sz w:val="16"/>
                <w:szCs w:val="16"/>
                <w:lang w:val="pl-PL"/>
              </w:rPr>
              <w:t>+ 48 665 305 902</w:t>
            </w:r>
          </w:p>
        </w:tc>
      </w:tr>
      <w:tr w:rsidR="00D72017" w:rsidRPr="00EC6A2F" w14:paraId="02F43293" w14:textId="77777777" w:rsidTr="02F55C5F">
        <w:trPr>
          <w:trHeight w:val="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56" w:type="dxa"/>
              <w:bottom w:w="80" w:type="dxa"/>
              <w:right w:w="80" w:type="dxa"/>
            </w:tcMar>
          </w:tcPr>
          <w:p w14:paraId="0832903A" w14:textId="77777777" w:rsidR="00D72017" w:rsidRPr="002C6514" w:rsidRDefault="00D72017" w:rsidP="00D72017">
            <w:pPr>
              <w:pStyle w:val="Normalny1"/>
              <w:spacing w:line="240" w:lineRule="auto"/>
              <w:ind w:left="-514"/>
              <w:rPr>
                <w:sz w:val="12"/>
                <w:szCs w:val="16"/>
              </w:rPr>
            </w:pPr>
            <w:r w:rsidRPr="002C6514">
              <w:rPr>
                <w:sz w:val="12"/>
                <w:szCs w:val="16"/>
              </w:rPr>
              <w:t>e-mail:</w:t>
            </w:r>
          </w:p>
          <w:p w14:paraId="40EDEEF0" w14:textId="73B6C15D" w:rsidR="00D72017" w:rsidRPr="002C6514" w:rsidRDefault="00D72017" w:rsidP="00D72017">
            <w:pPr>
              <w:pStyle w:val="Normalny1"/>
              <w:spacing w:line="240" w:lineRule="auto"/>
              <w:ind w:left="-514"/>
            </w:pPr>
            <w:proofErr w:type="spellStart"/>
            <w:r w:rsidRPr="002C6514">
              <w:rPr>
                <w:sz w:val="16"/>
                <w:szCs w:val="16"/>
              </w:rPr>
              <w:t>mateusz.zydek</w:t>
            </w:r>
            <w:proofErr w:type="spellEnd"/>
            <w:r w:rsidRPr="002C6514">
              <w:rPr>
                <w:sz w:val="16"/>
                <w:szCs w:val="16"/>
              </w:rPr>
              <w:t>@</w:t>
            </w:r>
            <w:r w:rsidRPr="002C6514">
              <w:rPr>
                <w:sz w:val="16"/>
                <w:szCs w:val="16"/>
              </w:rPr>
              <w:br/>
              <w:t>randstad.pl</w:t>
            </w:r>
          </w:p>
        </w:tc>
      </w:tr>
    </w:tbl>
    <w:p w14:paraId="24F427E2" w14:textId="77777777" w:rsidR="005F07BC" w:rsidRPr="002C6514" w:rsidRDefault="005F07BC" w:rsidP="00C73E88">
      <w:pPr>
        <w:pStyle w:val="Tre"/>
        <w:widowControl w:val="0"/>
        <w:spacing w:line="276" w:lineRule="auto"/>
        <w:ind w:left="216" w:hanging="216"/>
        <w:rPr>
          <w:rFonts w:ascii="Tahoma" w:hAnsi="Tahoma" w:cs="Tahoma"/>
        </w:rPr>
      </w:pPr>
    </w:p>
    <w:p w14:paraId="45AABE00" w14:textId="77777777" w:rsidR="005F07BC" w:rsidRPr="002C6514" w:rsidRDefault="005F07BC" w:rsidP="00C73E88">
      <w:pPr>
        <w:pStyle w:val="TreA"/>
        <w:widowControl w:val="0"/>
        <w:spacing w:line="276" w:lineRule="auto"/>
        <w:ind w:left="108" w:hanging="108"/>
        <w:rPr>
          <w:rFonts w:ascii="Tahoma" w:hAnsi="Tahoma" w:cs="Tahoma"/>
        </w:rPr>
      </w:pPr>
    </w:p>
    <w:p w14:paraId="699C6FAA" w14:textId="77777777" w:rsidR="00EC6A2F" w:rsidRDefault="00EC6A2F" w:rsidP="00EC6A2F">
      <w:pPr>
        <w:pStyle w:val="HeaderAddress"/>
        <w:spacing w:beforeAutospacing="1" w:afterAutospacing="1" w:line="259" w:lineRule="auto"/>
        <w:rPr>
          <w:color w:val="0070C0"/>
          <w:sz w:val="32"/>
          <w:szCs w:val="32"/>
          <w:lang w:val="pl-PL"/>
        </w:rPr>
      </w:pPr>
      <w:r w:rsidRPr="3DB8E406">
        <w:rPr>
          <w:color w:val="0070C0"/>
          <w:sz w:val="32"/>
          <w:szCs w:val="32"/>
          <w:lang w:val="pl-PL"/>
        </w:rPr>
        <w:t>W przyszłym roku podwyżek oczekuje 54 proc. zatrudnionych w Polsce, ale rynek wyraźnie zwalnia: czas poszukiwania nowej pracy rekordowo się wydłużył</w:t>
      </w:r>
    </w:p>
    <w:p w14:paraId="075C46E3" w14:textId="0B66BD7B" w:rsidR="00EC6A2F" w:rsidRDefault="00EC6A2F" w:rsidP="007C6562">
      <w:pPr>
        <w:spacing w:beforeAutospacing="1" w:afterAutospacing="1"/>
        <w:rPr>
          <w:rFonts w:ascii="Tahoma" w:hAnsi="Tahoma" w:cs="Tahoma"/>
          <w:b/>
          <w:bCs/>
          <w:sz w:val="20"/>
          <w:szCs w:val="20"/>
          <w:lang w:val="pl-PL"/>
        </w:rPr>
      </w:pPr>
      <w:r w:rsidRPr="00EC6A2F">
        <w:rPr>
          <w:rFonts w:ascii="Tahoma" w:hAnsi="Tahoma" w:cs="Tahoma"/>
          <w:b/>
          <w:bCs/>
          <w:sz w:val="20"/>
          <w:szCs w:val="20"/>
          <w:lang w:val="pl-PL"/>
        </w:rPr>
        <w:t xml:space="preserve">Rynek pracy w Polsce wszedł w drugim kwartale 2025 roku w fazę widocznego spowolnienia. Dane z 60. edycji badania </w:t>
      </w:r>
      <w:proofErr w:type="spellStart"/>
      <w:r w:rsidRPr="00EC6A2F">
        <w:rPr>
          <w:rFonts w:ascii="Tahoma" w:hAnsi="Tahoma" w:cs="Tahoma"/>
          <w:b/>
          <w:bCs/>
          <w:sz w:val="20"/>
          <w:szCs w:val="20"/>
          <w:lang w:val="pl-PL"/>
        </w:rPr>
        <w:t>Randstad</w:t>
      </w:r>
      <w:proofErr w:type="spellEnd"/>
      <w:r w:rsidRPr="00EC6A2F">
        <w:rPr>
          <w:rFonts w:ascii="Tahoma" w:hAnsi="Tahoma" w:cs="Tahoma"/>
          <w:b/>
          <w:bCs/>
          <w:sz w:val="20"/>
          <w:szCs w:val="20"/>
          <w:lang w:val="pl-PL"/>
        </w:rPr>
        <w:t xml:space="preserve"> „Monitor Rynku Pracy” wskazują, że tempo wzrostu wynagrodzeń spadło, a podwyżki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trafiły do mniejszej grupy pra</w:t>
      </w:r>
      <w:r w:rsidRPr="00EC6A2F">
        <w:rPr>
          <w:rFonts w:ascii="Tahoma" w:hAnsi="Tahoma" w:cs="Tahoma"/>
          <w:b/>
          <w:bCs/>
          <w:sz w:val="20"/>
          <w:szCs w:val="20"/>
          <w:lang w:val="pl-PL"/>
        </w:rPr>
        <w:t>cowników niż w poprzednich dwóch latach, gdy dynamikę wynagrodzeń napędzały wzrosty płacy minimalnej i presja inflacyjna. Jednocześnie rekordowo wydłużył się czas poszukiwania nowej pracy, a Polacy mniej optymistycznie oceniają szanse na znalezienie lepszej posady. Wraz z ochłodzeniem koniunktury zmieniły się też postawy pracowników: coraz częściej poszukują dodatkowych form zatrudnienia lub decydują się na przekwalifikowanie.</w:t>
      </w:r>
    </w:p>
    <w:p w14:paraId="6E87A914" w14:textId="1C3FBCE4" w:rsidR="00EC6A2F" w:rsidRDefault="00EC6A2F" w:rsidP="007C6562">
      <w:pPr>
        <w:spacing w:beforeAutospacing="1" w:afterAutospacing="1"/>
        <w:rPr>
          <w:rFonts w:ascii="Tahoma" w:eastAsia="Tahoma" w:hAnsi="Tahoma" w:cs="Tahoma"/>
          <w:b/>
          <w:bCs/>
          <w:color w:val="0070C0"/>
          <w:sz w:val="20"/>
          <w:szCs w:val="20"/>
          <w:lang w:val="pl-PL"/>
        </w:rPr>
      </w:pPr>
      <w:r w:rsidRPr="00EC6A2F">
        <w:rPr>
          <w:rFonts w:ascii="Tahoma" w:eastAsia="Tahoma" w:hAnsi="Tahoma" w:cs="Tahoma"/>
          <w:b/>
          <w:bCs/>
          <w:color w:val="0070C0"/>
          <w:sz w:val="20"/>
          <w:szCs w:val="20"/>
          <w:lang w:val="pl-PL"/>
        </w:rPr>
        <w:t xml:space="preserve">Podwyżki </w:t>
      </w:r>
      <w:r w:rsidR="00CE1AB4">
        <w:rPr>
          <w:rFonts w:ascii="Tahoma" w:eastAsia="Tahoma" w:hAnsi="Tahoma" w:cs="Tahoma"/>
          <w:b/>
          <w:bCs/>
          <w:color w:val="0070C0"/>
          <w:sz w:val="20"/>
          <w:szCs w:val="20"/>
          <w:lang w:val="pl-PL"/>
        </w:rPr>
        <w:t>dość częste</w:t>
      </w:r>
      <w:r w:rsidRPr="00EC6A2F">
        <w:rPr>
          <w:rFonts w:ascii="Tahoma" w:eastAsia="Tahoma" w:hAnsi="Tahoma" w:cs="Tahoma"/>
          <w:b/>
          <w:bCs/>
          <w:color w:val="0070C0"/>
          <w:sz w:val="20"/>
          <w:szCs w:val="20"/>
          <w:lang w:val="pl-PL"/>
        </w:rPr>
        <w:t>, ale niższe kwoty aktywizują do szukania dodatkowej pracy</w:t>
      </w:r>
    </w:p>
    <w:p w14:paraId="7699AAFA" w14:textId="77777777" w:rsidR="00EC6A2F" w:rsidRDefault="00EC6A2F" w:rsidP="00EC6A2F">
      <w:pPr>
        <w:spacing w:beforeAutospacing="1" w:afterAutospacing="1" w:line="276" w:lineRule="auto"/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</w:pPr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W 2025 roku ponad połowa Polaków otrzymała podwyżki (54 proc), jednak ich skala była mniejsza niż we wcześniejszych latach. Największa grupa pracowników (45 proc.) odnotowała wzrost wynagrodzenia w przedziale 5–10 proc., a 29 proc. zatrudnionych otrzymało podwyżkę do 5 proc. To spadek odpowiednio o 3 i 6 </w:t>
      </w:r>
      <w:proofErr w:type="spellStart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p.p</w:t>
      </w:r>
      <w:proofErr w:type="spellEnd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. względem 2024 roku. Podwyżki w przedziale 10–20 proc. otrzymało 15 proc. pracowników, co oznacza spadek o 6 </w:t>
      </w:r>
      <w:proofErr w:type="spellStart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p.p</w:t>
      </w:r>
      <w:proofErr w:type="spellEnd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. w ciągu roku.</w:t>
      </w:r>
    </w:p>
    <w:p w14:paraId="288BD39D" w14:textId="77777777" w:rsidR="00EC6A2F" w:rsidRDefault="00EC6A2F" w:rsidP="00EC6A2F">
      <w:pPr>
        <w:spacing w:beforeAutospacing="1" w:afterAutospacing="1" w:line="276" w:lineRule="auto"/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</w:pPr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Podwyżki częściej trafiały do mężczyzn (54 proc.) niż do kobiet (50 proc.) i dotyczyły głównie osób zatrudnionych na umowach na czas nieokreślony (65 proc.). Zmiany płac objęły wszystkie grupy wiekowe: 53 proc. przedstawicieli pokolenia Z, </w:t>
      </w:r>
      <w:proofErr w:type="spellStart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milenialsów</w:t>
      </w:r>
      <w:proofErr w:type="spellEnd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i pokolenia Y otrzymało podwyżkę, a wśród baby </w:t>
      </w:r>
      <w:proofErr w:type="spellStart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boomers</w:t>
      </w:r>
      <w:proofErr w:type="spellEnd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było to 50 proc. pracowników. Dla 46 proc. respondentów wysokość wzrostu była zgodna z oczekiwaniami, choć ponad jedna czwarta badanych (26 proc.) przyznała, że wciąż jest niezadowolona z poziomu wynagrodzenia.</w:t>
      </w:r>
    </w:p>
    <w:p w14:paraId="4951FF3E" w14:textId="543E3132" w:rsidR="00EC6A2F" w:rsidRDefault="00EC6A2F" w:rsidP="00EC6A2F">
      <w:pPr>
        <w:spacing w:beforeAutospacing="1" w:afterAutospacing="1" w:line="276" w:lineRule="auto"/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</w:pPr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W grupie osób niezadowolonych aż 72 proc. deklaruje, że poszuka z tego powodu dodatkowego zatrudnienia – zleceń, pracy tymczasowej lub w niepełnym wymiarze etatu. Najczęściej taki plan mają osoby z wyższym wykształceniem, zatrudnione na czas określony lub samozatrudnieni. 67 proc. pracowników jest gotowych przekwalifikować się, by znaleźć lepsze możliwości w innej branży lub specjalizacji, a 33 proc. </w:t>
      </w:r>
      <w:r w:rsidR="00CE1AB4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z tej grupy </w:t>
      </w:r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deklaruje gotowość wyjazdu za granicę w poszukiwaniu lepiej płatnej pracy.</w:t>
      </w:r>
    </w:p>
    <w:p w14:paraId="489F48E6" w14:textId="77777777" w:rsidR="00EC6A2F" w:rsidRDefault="00EC6A2F" w:rsidP="007C6562">
      <w:pPr>
        <w:spacing w:before="240" w:line="276" w:lineRule="auto"/>
        <w:rPr>
          <w:rFonts w:ascii="Tahoma" w:eastAsia="Arial" w:hAnsi="Tahoma" w:cs="Tahoma"/>
          <w:b/>
          <w:bCs/>
          <w:color w:val="0070C0"/>
          <w:sz w:val="20"/>
          <w:szCs w:val="20"/>
          <w:lang w:val="pl-PL"/>
        </w:rPr>
      </w:pPr>
      <w:r w:rsidRPr="00EC6A2F">
        <w:rPr>
          <w:rFonts w:ascii="Tahoma" w:eastAsia="Arial" w:hAnsi="Tahoma" w:cs="Tahoma"/>
          <w:b/>
          <w:bCs/>
          <w:color w:val="0070C0"/>
          <w:sz w:val="20"/>
          <w:szCs w:val="20"/>
          <w:lang w:val="pl-PL"/>
        </w:rPr>
        <w:t>Oczekiwania płacowe pracowników: optymizm zależy od pokolenia i branży</w:t>
      </w:r>
    </w:p>
    <w:p w14:paraId="54BDA5FE" w14:textId="175F680F" w:rsidR="00EC6A2F" w:rsidRDefault="00EC6A2F" w:rsidP="00EC6A2F">
      <w:pPr>
        <w:spacing w:beforeAutospacing="1" w:afterAutospacing="1" w:line="276" w:lineRule="auto"/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</w:pPr>
      <w:r w:rsidRPr="3320CB0C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Oczekiwania wzrostu wynagrodzeń w 2026 roku są </w:t>
      </w:r>
      <w:r w:rsidR="00CE1AB4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zbliżone do poziomu zeszłorocznych deklaracji</w:t>
      </w:r>
      <w:r w:rsidRPr="3320CB0C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. W perspektywie 12 miesięcy 54 proc. badanych ma nadzieję na podwyżki. Największy optymizm wykazują kierownicy średniego szczebla (69 proc.) i kadra zarządzająca (68 proc.), a także pracownicy fizyczni niewykwalifikowani (59 proc.). </w:t>
      </w:r>
    </w:p>
    <w:p w14:paraId="0A95F005" w14:textId="3525B520" w:rsidR="00EC6A2F" w:rsidRDefault="00EC6A2F" w:rsidP="00EC6A2F">
      <w:pPr>
        <w:spacing w:beforeAutospacing="1" w:afterAutospacing="1" w:line="276" w:lineRule="auto"/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</w:pPr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Pod względem branż największe oczekiwania wzrostu wynagrodzeń mają zatrudnieni w sektorze finansów i ubezpieczeń (61 proc.), handlu (60 proc.) oraz transportu i logistyki (59 proc.). Kobiety rzadziej niż mężczyźni spodziewają się podwyżki (50 proc. vs. 56 proc.), a różnice w </w:t>
      </w:r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lastRenderedPageBreak/>
        <w:t xml:space="preserve">oczekiwaniach widać także między pokoleniami – największy optymizm wykazują </w:t>
      </w:r>
      <w:proofErr w:type="spellStart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milenialsi</w:t>
      </w:r>
      <w:proofErr w:type="spellEnd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i pokolenie Z (po 55 proc.) przy najniższych oczekiwaniach wśród baby </w:t>
      </w:r>
      <w:proofErr w:type="spellStart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boomers</w:t>
      </w:r>
      <w:proofErr w:type="spellEnd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(52 proc.).</w:t>
      </w:r>
    </w:p>
    <w:p w14:paraId="698667B0" w14:textId="745BE01A" w:rsidR="00CD7F3F" w:rsidRDefault="00CD7F3F" w:rsidP="00EC6A2F">
      <w:pPr>
        <w:spacing w:beforeAutospacing="1" w:afterAutospacing="1" w:line="276" w:lineRule="auto"/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</w:pPr>
      <w:r w:rsidRPr="3DB8E406">
        <w:rPr>
          <w:rFonts w:ascii="Tahoma" w:eastAsia="Tahoma" w:hAnsi="Tahoma" w:cs="Tahoma"/>
          <w:i/>
          <w:iCs/>
          <w:sz w:val="19"/>
          <w:szCs w:val="19"/>
          <w:lang w:val="pl-PL"/>
        </w:rPr>
        <w:t>–</w:t>
      </w:r>
      <w:r w:rsidRPr="3DB8E406">
        <w:rPr>
          <w:rFonts w:ascii="Tahoma" w:hAnsi="Tahoma" w:cs="Tahoma"/>
          <w:i/>
          <w:iCs/>
          <w:sz w:val="20"/>
          <w:szCs w:val="20"/>
          <w:lang w:val="pl-PL"/>
        </w:rPr>
        <w:t xml:space="preserve"> </w:t>
      </w:r>
      <w:r w:rsidRPr="00CD7F3F">
        <w:rPr>
          <w:rFonts w:ascii="Tahoma" w:eastAsia="Tahoma" w:hAnsi="Tahoma" w:cs="Tahoma"/>
          <w:i/>
          <w:color w:val="000000" w:themeColor="text1"/>
          <w:sz w:val="20"/>
          <w:szCs w:val="20"/>
          <w:lang w:val="pl-PL"/>
        </w:rPr>
        <w:t>Należy podkreślić, iż nasz rynek pracy jest wciąż stabilny, odporny w miarę na zawirowania gospodarcze. Jednocześnie nie jest jednolity, wiele zależy od regionu kraju, sektora działalności gospodarczej, który byśmy poddali badaniu. Badanie potwierdza natomiast, iż jesteśmy w okresie „schłodzenia” sytuacji na rynku, większej ostrożności pracodawców co do nowych inicjatywa, a pracowników – co do możliwości zmiany swojej sytuacji. To ma swoje przełożenie na wzrost wynagrodzeń. Podwyżki wynagrodzeń w 2026 r. będą niższe niż w poprzednich latach, co wynika z trudniejszej sytuacji pracodawców, jak i niższego wzrostu minimalnego wynagrodzenia.  W latach 2023-24 minimalne wynagrodzenia wzrastało odpowiednio 16% i 21%. W roku 2026 minimalne wynagrodzenie wzrośnie o 3%. Po stronie pracodawców wyzwaniem jest wzrost kosztów zatrudnienia i kosztów prowadzenia działalności, oraz niepewność co do warunków działalności</w:t>
      </w:r>
      <w:r w:rsidRPr="00CD7F3F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– komentuje</w:t>
      </w:r>
      <w:r>
        <w:rPr>
          <w:rFonts w:ascii="Tahoma" w:eastAsia="Tahoma" w:hAnsi="Tahoma" w:cs="Tahoma"/>
          <w:b/>
          <w:color w:val="000000" w:themeColor="text1"/>
          <w:sz w:val="20"/>
          <w:szCs w:val="20"/>
          <w:lang w:val="pl-PL"/>
        </w:rPr>
        <w:t xml:space="preserve"> </w:t>
      </w:r>
      <w:r w:rsidRPr="00CD7F3F">
        <w:rPr>
          <w:rFonts w:ascii="Tahoma" w:eastAsia="Tahoma" w:hAnsi="Tahoma" w:cs="Tahoma"/>
          <w:b/>
          <w:color w:val="000000" w:themeColor="text1"/>
          <w:sz w:val="20"/>
          <w:szCs w:val="20"/>
          <w:lang w:val="pl-PL"/>
        </w:rPr>
        <w:t>Robert Lisicki, dyrektor departamentu pracy, Konfederacji Lewiatan.</w:t>
      </w:r>
    </w:p>
    <w:p w14:paraId="02A26724" w14:textId="6C16B756" w:rsidR="00EC6A2F" w:rsidRDefault="00EC6A2F" w:rsidP="00EC6A2F">
      <w:pPr>
        <w:spacing w:beforeAutospacing="1" w:afterAutospacing="1" w:line="276" w:lineRule="auto"/>
        <w:rPr>
          <w:rFonts w:ascii="Tahoma" w:eastAsia="Arial" w:hAnsi="Tahoma" w:cs="Tahoma"/>
          <w:b/>
          <w:bCs/>
          <w:color w:val="0070C0"/>
          <w:sz w:val="20"/>
          <w:szCs w:val="20"/>
          <w:lang w:val="pl-PL"/>
        </w:rPr>
      </w:pPr>
      <w:r w:rsidRPr="00EC6A2F">
        <w:rPr>
          <w:rFonts w:ascii="Tahoma" w:eastAsia="Arial" w:hAnsi="Tahoma" w:cs="Tahoma"/>
          <w:b/>
          <w:bCs/>
          <w:color w:val="0070C0"/>
          <w:sz w:val="20"/>
          <w:szCs w:val="20"/>
          <w:lang w:val="pl-PL"/>
        </w:rPr>
        <w:t>Motywacja jest, odwagi brak – paradoks rozmów o podwyżce</w:t>
      </w:r>
      <w:bookmarkStart w:id="0" w:name="_GoBack"/>
      <w:bookmarkEnd w:id="0"/>
    </w:p>
    <w:p w14:paraId="094A268F" w14:textId="0404DC81" w:rsidR="00EC6A2F" w:rsidRPr="00EC6A2F" w:rsidRDefault="00EC6A2F" w:rsidP="00EC6A2F">
      <w:pPr>
        <w:spacing w:beforeAutospacing="1" w:afterAutospacing="1" w:line="276" w:lineRule="auto"/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</w:pPr>
      <w:r w:rsidRPr="00EC6A2F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Pomimo wysokich oczekiwań 35 proc. pracowników deklaruje, że w 2026 roku nie </w:t>
      </w:r>
      <w:r w:rsidR="00CE1AB4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zamierza samodzielnie </w:t>
      </w:r>
      <w:r w:rsidRPr="00EC6A2F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wystąpi</w:t>
      </w:r>
      <w:r w:rsidR="00CE1AB4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ć</w:t>
      </w:r>
      <w:r w:rsidRPr="00EC6A2F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o podwyżkę. Najczęściej wskazywanymi powodami są: przekonanie, że taka prośba nie byłaby dobrze odebrana przez pracodawcę oraz fakt, że dla pracowników taka rozmowa jest niekomfortowa (po 23 proc.</w:t>
      </w:r>
      <w:r w:rsidR="00CE1AB4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wskazań</w:t>
      </w:r>
      <w:r w:rsidRPr="00EC6A2F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), a co piąty Polak obawia się</w:t>
      </w:r>
      <w:r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również reakcji przełożonego. </w:t>
      </w:r>
    </w:p>
    <w:p w14:paraId="3E8461BE" w14:textId="7CB5E1A3" w:rsidR="00EC6A2F" w:rsidRDefault="00EC6A2F" w:rsidP="00EC6A2F">
      <w:pPr>
        <w:spacing w:beforeAutospacing="1" w:afterAutospacing="1" w:line="276" w:lineRule="auto"/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</w:pPr>
      <w:r w:rsidRPr="00EC6A2F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Jednocześnie 34 proc. planuje ubiegać się o wyższe wynagrodzenie, najczęściej motywując to wysoką jakością pracy (58 proc.), inflacją i wzrostem kosztów życia (58 proc.) oraz podniesie-</w:t>
      </w:r>
      <w:proofErr w:type="spellStart"/>
      <w:r w:rsidRPr="00EC6A2F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niem</w:t>
      </w:r>
      <w:proofErr w:type="spellEnd"/>
      <w:r w:rsidRPr="00EC6A2F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kwalifikacji (32 proc.). 29 proc. badanych wciąż nie podjęło decyzji, czy będzie </w:t>
      </w:r>
      <w:proofErr w:type="spellStart"/>
      <w:r w:rsidRPr="00EC6A2F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wniosko-wać</w:t>
      </w:r>
      <w:proofErr w:type="spellEnd"/>
      <w:r w:rsidRPr="00EC6A2F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o podwyżkę.</w:t>
      </w:r>
    </w:p>
    <w:p w14:paraId="53CD329C" w14:textId="1DFB7E4C" w:rsidR="00EC6A2F" w:rsidRDefault="00EC6A2F" w:rsidP="00EC6A2F">
      <w:pPr>
        <w:spacing w:line="276" w:lineRule="auto"/>
        <w:rPr>
          <w:rFonts w:ascii="Tahoma" w:hAnsi="Tahoma" w:cs="Tahoma"/>
          <w:b/>
          <w:bCs/>
          <w:sz w:val="20"/>
          <w:szCs w:val="20"/>
          <w:lang w:val="pl-PL"/>
        </w:rPr>
      </w:pPr>
      <w:r w:rsidRPr="3DB8E406">
        <w:rPr>
          <w:rFonts w:ascii="Tahoma" w:eastAsia="Tahoma" w:hAnsi="Tahoma" w:cs="Tahoma"/>
          <w:i/>
          <w:iCs/>
          <w:sz w:val="19"/>
          <w:szCs w:val="19"/>
          <w:lang w:val="pl-PL"/>
        </w:rPr>
        <w:t>–</w:t>
      </w:r>
      <w:r w:rsidRPr="3DB8E406">
        <w:rPr>
          <w:rFonts w:ascii="Tahoma" w:hAnsi="Tahoma" w:cs="Tahoma"/>
          <w:i/>
          <w:iCs/>
          <w:sz w:val="20"/>
          <w:szCs w:val="20"/>
          <w:lang w:val="pl-PL"/>
        </w:rPr>
        <w:t xml:space="preserve"> Dane z badania pokazują, że po rekordowych latach 2023–2024, kiedy dynamika wynagrodzeń była napędzana inflacją i wzrostem płacy minimalnej, rynek pracy wszedł w fazę uspokojenia. W tym kontekście obserwujemy ciekawą zmianę po stronie zatrudnionych: </w:t>
      </w:r>
      <w:r w:rsidR="00CE1AB4">
        <w:rPr>
          <w:rFonts w:ascii="Tahoma" w:hAnsi="Tahoma" w:cs="Tahoma"/>
          <w:i/>
          <w:iCs/>
          <w:sz w:val="20"/>
          <w:szCs w:val="20"/>
          <w:lang w:val="pl-PL"/>
        </w:rPr>
        <w:t xml:space="preserve">rzadsze są deklarację zmiany pracodawcy, </w:t>
      </w:r>
      <w:r w:rsidRPr="3DB8E406">
        <w:rPr>
          <w:rFonts w:ascii="Tahoma" w:hAnsi="Tahoma" w:cs="Tahoma"/>
          <w:i/>
          <w:iCs/>
          <w:sz w:val="20"/>
          <w:szCs w:val="20"/>
          <w:lang w:val="pl-PL"/>
        </w:rPr>
        <w:t xml:space="preserve">ale </w:t>
      </w:r>
      <w:r w:rsidR="00CE1AB4">
        <w:rPr>
          <w:rFonts w:ascii="Tahoma" w:hAnsi="Tahoma" w:cs="Tahoma"/>
          <w:i/>
          <w:iCs/>
          <w:sz w:val="20"/>
          <w:szCs w:val="20"/>
          <w:lang w:val="pl-PL"/>
        </w:rPr>
        <w:t xml:space="preserve">pojawiły się plany podjęcie innych </w:t>
      </w:r>
      <w:r w:rsidRPr="3DB8E406">
        <w:rPr>
          <w:rFonts w:ascii="Tahoma" w:hAnsi="Tahoma" w:cs="Tahoma"/>
          <w:i/>
          <w:iCs/>
          <w:sz w:val="20"/>
          <w:szCs w:val="20"/>
          <w:lang w:val="pl-PL"/>
        </w:rPr>
        <w:t>form zatrudnienia: praca dodatkowa</w:t>
      </w:r>
      <w:r w:rsidR="00CE1AB4">
        <w:rPr>
          <w:rFonts w:ascii="Tahoma" w:hAnsi="Tahoma" w:cs="Tahoma"/>
          <w:i/>
          <w:iCs/>
          <w:sz w:val="20"/>
          <w:szCs w:val="20"/>
          <w:lang w:val="pl-PL"/>
        </w:rPr>
        <w:t>,</w:t>
      </w:r>
      <w:r w:rsidRPr="3DB8E406">
        <w:rPr>
          <w:rFonts w:ascii="Tahoma" w:hAnsi="Tahoma" w:cs="Tahoma"/>
          <w:i/>
          <w:iCs/>
          <w:sz w:val="20"/>
          <w:szCs w:val="20"/>
          <w:lang w:val="pl-PL"/>
        </w:rPr>
        <w:t xml:space="preserve"> </w:t>
      </w:r>
      <w:r w:rsidR="00CE1AB4">
        <w:rPr>
          <w:rFonts w:ascii="Tahoma" w:hAnsi="Tahoma" w:cs="Tahoma"/>
          <w:i/>
          <w:iCs/>
          <w:sz w:val="20"/>
          <w:szCs w:val="20"/>
          <w:lang w:val="pl-PL"/>
        </w:rPr>
        <w:t xml:space="preserve">w tym </w:t>
      </w:r>
      <w:r w:rsidRPr="3DB8E406">
        <w:rPr>
          <w:rFonts w:ascii="Tahoma" w:hAnsi="Tahoma" w:cs="Tahoma"/>
          <w:i/>
          <w:iCs/>
          <w:sz w:val="20"/>
          <w:szCs w:val="20"/>
          <w:lang w:val="pl-PL"/>
        </w:rPr>
        <w:t>na część etatu</w:t>
      </w:r>
      <w:r w:rsidR="00CE1AB4">
        <w:rPr>
          <w:rFonts w:ascii="Tahoma" w:hAnsi="Tahoma" w:cs="Tahoma"/>
          <w:i/>
          <w:iCs/>
          <w:sz w:val="20"/>
          <w:szCs w:val="20"/>
          <w:lang w:val="pl-PL"/>
        </w:rPr>
        <w:t>,</w:t>
      </w:r>
      <w:r w:rsidRPr="3DB8E406">
        <w:rPr>
          <w:rFonts w:ascii="Tahoma" w:hAnsi="Tahoma" w:cs="Tahoma"/>
          <w:i/>
          <w:iCs/>
          <w:sz w:val="20"/>
          <w:szCs w:val="20"/>
          <w:lang w:val="pl-PL"/>
        </w:rPr>
        <w:t xml:space="preserve"> </w:t>
      </w:r>
      <w:r w:rsidR="00CE1AB4">
        <w:rPr>
          <w:rFonts w:ascii="Tahoma" w:hAnsi="Tahoma" w:cs="Tahoma"/>
          <w:i/>
          <w:iCs/>
          <w:sz w:val="20"/>
          <w:szCs w:val="20"/>
          <w:lang w:val="pl-PL"/>
        </w:rPr>
        <w:t xml:space="preserve">albo </w:t>
      </w:r>
      <w:r w:rsidRPr="3DB8E406">
        <w:rPr>
          <w:rFonts w:ascii="Tahoma" w:hAnsi="Tahoma" w:cs="Tahoma"/>
          <w:i/>
          <w:iCs/>
          <w:sz w:val="20"/>
          <w:szCs w:val="20"/>
          <w:lang w:val="pl-PL"/>
        </w:rPr>
        <w:t xml:space="preserve">zlecenia stają się </w:t>
      </w:r>
      <w:r w:rsidR="00CE1AB4">
        <w:rPr>
          <w:rFonts w:ascii="Tahoma" w:hAnsi="Tahoma" w:cs="Tahoma"/>
          <w:i/>
          <w:iCs/>
          <w:sz w:val="20"/>
          <w:szCs w:val="20"/>
          <w:lang w:val="pl-PL"/>
        </w:rPr>
        <w:t>sposobem na poprawę domowych finansów, gdy kurczą się perspektywy znaczących podwyżek płac i możliwości zmiany pracy na taką, w której oferowane są atrakcyjniejsze warunk</w:t>
      </w:r>
      <w:r w:rsidR="002C6514">
        <w:rPr>
          <w:rFonts w:ascii="Tahoma" w:hAnsi="Tahoma" w:cs="Tahoma"/>
          <w:i/>
          <w:iCs/>
          <w:sz w:val="20"/>
          <w:szCs w:val="20"/>
          <w:lang w:val="pl-PL"/>
        </w:rPr>
        <w:t>i</w:t>
      </w:r>
      <w:r w:rsidR="00CE1AB4">
        <w:rPr>
          <w:rFonts w:ascii="Tahoma" w:hAnsi="Tahoma" w:cs="Tahoma"/>
          <w:i/>
          <w:iCs/>
          <w:sz w:val="20"/>
          <w:szCs w:val="20"/>
          <w:lang w:val="pl-PL"/>
        </w:rPr>
        <w:t xml:space="preserve">. </w:t>
      </w:r>
      <w:r w:rsidRPr="3DB8E406">
        <w:rPr>
          <w:rFonts w:ascii="Tahoma" w:hAnsi="Tahoma" w:cs="Tahoma"/>
          <w:i/>
          <w:iCs/>
          <w:sz w:val="20"/>
          <w:szCs w:val="20"/>
          <w:lang w:val="pl-PL"/>
        </w:rPr>
        <w:t>Jednocześnie gotowość do przekwalifikowania się deklarowana przez prawie 70 proc. badanych, pokazuje pragmatyzm i świadomość konieczności adaptacji</w:t>
      </w:r>
      <w:r w:rsidR="00CE1AB4">
        <w:rPr>
          <w:rFonts w:ascii="Tahoma" w:hAnsi="Tahoma" w:cs="Tahoma"/>
          <w:i/>
          <w:iCs/>
          <w:sz w:val="20"/>
          <w:szCs w:val="20"/>
          <w:lang w:val="pl-PL"/>
        </w:rPr>
        <w:t xml:space="preserve"> w dynamicznie zmieniającej się rzeczywistości zawodowej</w:t>
      </w:r>
      <w:r w:rsidRPr="3DB8E406">
        <w:rPr>
          <w:rFonts w:ascii="Tahoma" w:hAnsi="Tahoma" w:cs="Tahoma"/>
          <w:i/>
          <w:iCs/>
          <w:sz w:val="20"/>
          <w:szCs w:val="20"/>
          <w:lang w:val="pl-PL"/>
        </w:rPr>
        <w:t>. W efekcie mamy rynek pracy, który nie traci energii, lecz rozkłada ją inaczej – zamiast rosnącej rotacji mamy elastyczność i równoległą aktywność</w:t>
      </w:r>
      <w:r w:rsidRPr="3DB8E406">
        <w:rPr>
          <w:rFonts w:ascii="Tahoma" w:eastAsia="Tahoma" w:hAnsi="Tahoma" w:cs="Tahoma"/>
          <w:color w:val="000000" w:themeColor="text1"/>
          <w:lang w:val="pl-PL"/>
        </w:rPr>
        <w:t xml:space="preserve"> – </w:t>
      </w:r>
      <w:r w:rsidRPr="00FA776B">
        <w:rPr>
          <w:rFonts w:ascii="Tahoma" w:hAnsi="Tahoma" w:cs="Tahoma"/>
          <w:bCs/>
          <w:sz w:val="20"/>
          <w:szCs w:val="20"/>
          <w:lang w:val="pl-PL"/>
        </w:rPr>
        <w:t>komentuje</w:t>
      </w:r>
      <w:r w:rsidRPr="3DB8E406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FA776B">
        <w:rPr>
          <w:rFonts w:ascii="Tahoma" w:hAnsi="Tahoma" w:cs="Tahoma"/>
          <w:b/>
          <w:bCs/>
          <w:sz w:val="20"/>
          <w:szCs w:val="20"/>
          <w:lang w:val="pl-PL"/>
        </w:rPr>
        <w:t xml:space="preserve">Marzena </w:t>
      </w:r>
      <w:proofErr w:type="spellStart"/>
      <w:r w:rsidR="00FA776B">
        <w:rPr>
          <w:rFonts w:ascii="Tahoma" w:hAnsi="Tahoma" w:cs="Tahoma"/>
          <w:b/>
          <w:bCs/>
          <w:sz w:val="20"/>
          <w:szCs w:val="20"/>
          <w:lang w:val="pl-PL"/>
        </w:rPr>
        <w:t>Milinkiewicz</w:t>
      </w:r>
      <w:proofErr w:type="spellEnd"/>
      <w:r w:rsidRPr="3DB8E406">
        <w:rPr>
          <w:rFonts w:ascii="Tahoma" w:hAnsi="Tahoma" w:cs="Tahoma"/>
          <w:b/>
          <w:bCs/>
          <w:sz w:val="20"/>
          <w:szCs w:val="20"/>
          <w:lang w:val="pl-PL"/>
        </w:rPr>
        <w:t xml:space="preserve">, </w:t>
      </w:r>
      <w:r w:rsidR="00FA776B">
        <w:rPr>
          <w:rFonts w:ascii="Tahoma" w:hAnsi="Tahoma" w:cs="Tahoma"/>
          <w:b/>
          <w:bCs/>
          <w:sz w:val="20"/>
          <w:szCs w:val="20"/>
          <w:lang w:val="pl-PL"/>
        </w:rPr>
        <w:t xml:space="preserve">Dyrektor Zarządzająca </w:t>
      </w:r>
      <w:proofErr w:type="spellStart"/>
      <w:r w:rsidRPr="3DB8E406">
        <w:rPr>
          <w:rFonts w:ascii="Tahoma" w:hAnsi="Tahoma" w:cs="Tahoma"/>
          <w:b/>
          <w:bCs/>
          <w:sz w:val="20"/>
          <w:szCs w:val="20"/>
          <w:lang w:val="pl-PL"/>
        </w:rPr>
        <w:t>Randstad</w:t>
      </w:r>
      <w:proofErr w:type="spellEnd"/>
      <w:r w:rsidR="00FA776B">
        <w:rPr>
          <w:rFonts w:ascii="Tahoma" w:hAnsi="Tahoma" w:cs="Tahoma"/>
          <w:b/>
          <w:bCs/>
          <w:sz w:val="20"/>
          <w:szCs w:val="20"/>
          <w:lang w:val="pl-PL"/>
        </w:rPr>
        <w:t xml:space="preserve"> Polska</w:t>
      </w:r>
      <w:r w:rsidRPr="3DB8E406">
        <w:rPr>
          <w:rFonts w:ascii="Tahoma" w:hAnsi="Tahoma" w:cs="Tahoma"/>
          <w:b/>
          <w:bCs/>
          <w:sz w:val="20"/>
          <w:szCs w:val="20"/>
          <w:lang w:val="pl-PL"/>
        </w:rPr>
        <w:t>.</w:t>
      </w:r>
    </w:p>
    <w:p w14:paraId="092D4A26" w14:textId="77777777" w:rsidR="00EC6A2F" w:rsidRPr="00EC6A2F" w:rsidRDefault="00EC6A2F" w:rsidP="00EC6A2F">
      <w:pPr>
        <w:spacing w:beforeAutospacing="1" w:afterAutospacing="1" w:line="259" w:lineRule="auto"/>
        <w:rPr>
          <w:lang w:val="pl-PL"/>
        </w:rPr>
      </w:pPr>
      <w:r w:rsidRPr="3DB8E406">
        <w:rPr>
          <w:rFonts w:ascii="Tahoma" w:eastAsia="Arial" w:hAnsi="Tahoma" w:cs="Tahoma"/>
          <w:b/>
          <w:bCs/>
          <w:color w:val="0070C0"/>
          <w:sz w:val="20"/>
          <w:szCs w:val="20"/>
          <w:lang w:val="pl-PL"/>
        </w:rPr>
        <w:t>Stabilna rotacja mimo spowolnienia rynku pracy</w:t>
      </w:r>
    </w:p>
    <w:p w14:paraId="060F45AB" w14:textId="6E2AC760" w:rsidR="00EC6A2F" w:rsidRDefault="00EC6A2F" w:rsidP="00EC6A2F">
      <w:pPr>
        <w:spacing w:beforeAutospacing="1" w:afterAutospacing="1" w:line="276" w:lineRule="auto"/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</w:pPr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Z raportu </w:t>
      </w:r>
      <w:proofErr w:type="spellStart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Randstad</w:t>
      </w:r>
      <w:proofErr w:type="spellEnd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wynika, że spowolnienie rynku pracy w Polsce utrzymuje rotację na stabilnym poziomie od </w:t>
      </w:r>
      <w:r w:rsidR="00CE1AB4"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202</w:t>
      </w:r>
      <w:r w:rsidR="00CE1AB4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3</w:t>
      </w:r>
      <w:r w:rsidR="00CE1AB4"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</w:t>
      </w:r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roku</w:t>
      </w:r>
      <w:r w:rsidR="00CE1AB4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. W efekcie w ostatnim półroczu pracodawcę </w:t>
      </w:r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zmieniło 19 proc. zatrudnionych, a stanowisko w obrębie firmy – 16 proc. </w:t>
      </w:r>
    </w:p>
    <w:p w14:paraId="2B6FB1D5" w14:textId="0D426020" w:rsidR="00EC6A2F" w:rsidRDefault="00EC6A2F" w:rsidP="00EC6A2F">
      <w:pPr>
        <w:spacing w:beforeAutospacing="1" w:afterAutospacing="1" w:line="276" w:lineRule="auto"/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</w:pPr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Rotacja jest identyczna wśród kobiet i mężczyzn – 16 proc. Polek i Polaków zmieniło pracodawcę, a 19 proc. stanowisko. Najczęściej zmiany </w:t>
      </w:r>
      <w:r w:rsidR="00226FCF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miejsca zatrudnienia </w:t>
      </w:r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dotyczą młodszych pokoleń – </w:t>
      </w:r>
      <w:proofErr w:type="spellStart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Zetki</w:t>
      </w:r>
      <w:proofErr w:type="spellEnd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deklarują zmianę pracodawcy w 30 proc. przypadków i stanowiska w 23 proc., natomiast osoby w wieku 50–64 lata – odpowiednio 12 proc. i 10 proc.</w:t>
      </w:r>
    </w:p>
    <w:p w14:paraId="3DD92CD2" w14:textId="46978198" w:rsidR="00EC6A2F" w:rsidRDefault="00EC6A2F" w:rsidP="00EC6A2F">
      <w:pPr>
        <w:spacing w:beforeAutospacing="1" w:afterAutospacing="1" w:line="276" w:lineRule="auto"/>
        <w:rPr>
          <w:rFonts w:ascii="Tahoma" w:eastAsia="Tahoma" w:hAnsi="Tahoma" w:cs="Tahoma"/>
          <w:sz w:val="20"/>
          <w:szCs w:val="20"/>
          <w:lang w:val="pl-PL"/>
        </w:rPr>
      </w:pPr>
      <w:r w:rsidRPr="3DB8E406">
        <w:rPr>
          <w:rFonts w:ascii="Tahoma" w:eastAsia="Tahoma" w:hAnsi="Tahoma" w:cs="Tahoma"/>
          <w:sz w:val="20"/>
          <w:szCs w:val="20"/>
          <w:lang w:val="pl-PL"/>
        </w:rPr>
        <w:lastRenderedPageBreak/>
        <w:t xml:space="preserve">Łączną wysoką rotację odnotowano także w sektorach i na stanowiskach wymagających specjalistycznych kompetencji </w:t>
      </w:r>
      <w:r w:rsidR="00226FCF">
        <w:rPr>
          <w:rFonts w:ascii="Tahoma" w:eastAsia="Tahoma" w:hAnsi="Tahoma" w:cs="Tahoma"/>
          <w:sz w:val="20"/>
          <w:szCs w:val="20"/>
          <w:lang w:val="pl-PL"/>
        </w:rPr>
        <w:t xml:space="preserve">lub tam, gdzie relatywna wysoka jest </w:t>
      </w:r>
      <w:r w:rsidRPr="3DB8E406">
        <w:rPr>
          <w:rFonts w:ascii="Tahoma" w:eastAsia="Tahoma" w:hAnsi="Tahoma" w:cs="Tahoma"/>
          <w:sz w:val="20"/>
          <w:szCs w:val="20"/>
          <w:lang w:val="pl-PL"/>
        </w:rPr>
        <w:t>elastycznoś</w:t>
      </w:r>
      <w:r w:rsidR="00226FCF">
        <w:rPr>
          <w:rFonts w:ascii="Tahoma" w:eastAsia="Tahoma" w:hAnsi="Tahoma" w:cs="Tahoma"/>
          <w:sz w:val="20"/>
          <w:szCs w:val="20"/>
          <w:lang w:val="pl-PL"/>
        </w:rPr>
        <w:t>ć zatrudnienia</w:t>
      </w:r>
      <w:r w:rsidRPr="3DB8E406">
        <w:rPr>
          <w:rFonts w:ascii="Tahoma" w:eastAsia="Tahoma" w:hAnsi="Tahoma" w:cs="Tahoma"/>
          <w:sz w:val="20"/>
          <w:szCs w:val="20"/>
          <w:lang w:val="pl-PL"/>
        </w:rPr>
        <w:t xml:space="preserve">. Najwyższy poziom rotacji dotyczy inżynierów (68 proc.), mistrzów i brygadzistów (47 proc.), specjalistów (45 proc.), oraz w branżach hotelarstwa i gastronomii (54 proc.), budownictwa (43 proc.), telekomunikacji i IT (38 proc.) oraz transportu i logistyki (38 proc.). </w:t>
      </w:r>
    </w:p>
    <w:p w14:paraId="3EB0D6C7" w14:textId="1EA35853" w:rsidR="00EC6A2F" w:rsidRDefault="00EC6A2F" w:rsidP="00EC6A2F">
      <w:pPr>
        <w:spacing w:beforeAutospacing="1" w:afterAutospacing="1" w:line="276" w:lineRule="auto"/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</w:pPr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Najczęściej wskazywane powody zmiany pracy pozostają niezmienne od kilku kwartałów: wyższe wynagrodzenie u nowego pracodawcy (45 proc.), chęć rozwoju zawodowego (43 proc.) oraz korzystniejsza forma zatrudnienia (38 proc.), natomiast najrzadziej pracownicy zmieniają pracę ze względu na lepsze benefity (10 proc.) lub „zasiedzenie” w dotychczasowej firmie (13 proc.).</w:t>
      </w:r>
    </w:p>
    <w:p w14:paraId="212C6351" w14:textId="77777777" w:rsidR="00EC6A2F" w:rsidRPr="00EC6A2F" w:rsidRDefault="00EC6A2F" w:rsidP="00EC6A2F">
      <w:pPr>
        <w:spacing w:beforeAutospacing="1" w:afterAutospacing="1" w:line="259" w:lineRule="auto"/>
        <w:rPr>
          <w:lang w:val="pl-PL"/>
        </w:rPr>
      </w:pPr>
      <w:r w:rsidRPr="3DB8E406">
        <w:rPr>
          <w:rFonts w:ascii="Tahoma" w:eastAsia="Arial" w:hAnsi="Tahoma" w:cs="Tahoma"/>
          <w:b/>
          <w:bCs/>
          <w:color w:val="0070C0"/>
          <w:sz w:val="20"/>
          <w:szCs w:val="20"/>
          <w:lang w:val="pl-PL"/>
        </w:rPr>
        <w:t>Rynek pod lupą pracowników: aktywne śledzenie ofert bez gwałtownych decyzji</w:t>
      </w:r>
    </w:p>
    <w:p w14:paraId="52655785" w14:textId="3D538AB9" w:rsidR="00EC6A2F" w:rsidRDefault="00EC6A2F" w:rsidP="00EC6A2F">
      <w:pPr>
        <w:spacing w:beforeAutospacing="1" w:afterAutospacing="1" w:line="276" w:lineRule="auto"/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</w:pPr>
      <w:r w:rsidRPr="6E9201ED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Mniejsza dostępność ofert pracy sprawia, że liczba osób aktywnie poszukujących zatrudnienia pozostaje umiarkowana, choć Polki i Polacy nadal intensywnie monitorują dostępne ogłoszenia. </w:t>
      </w:r>
      <w:r w:rsidR="00226FCF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45 </w:t>
      </w:r>
      <w:r w:rsidRPr="6E9201ED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proc. zatrudnionych regularnie przegląda oferty pracy, a 10 proc. deklaruje aktywne poszukiwanie. </w:t>
      </w:r>
      <w:r w:rsidR="00226FCF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Pół roku temu udziały tych grup były wyższe o 2 </w:t>
      </w:r>
      <w:proofErr w:type="spellStart"/>
      <w:r w:rsidR="00226FCF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p.p</w:t>
      </w:r>
      <w:proofErr w:type="spellEnd"/>
      <w:r w:rsidR="00226FCF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. </w:t>
      </w:r>
      <w:r w:rsidRPr="6E9201ED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Kobiety i mężczyźni angażują się w te działania w podobnym stopniu. 45 proc. Polek i Polaków nie szuka nowej pracy aktywnie, ale rozgląda się za ofertami, a odpowiednio 10 proc. kobiet i 11 proc. mężczyzn szuka pracy aktywnie.</w:t>
      </w:r>
    </w:p>
    <w:p w14:paraId="3E5E13E1" w14:textId="77777777" w:rsidR="00EC6A2F" w:rsidRDefault="00EC6A2F" w:rsidP="00EC6A2F">
      <w:pPr>
        <w:spacing w:beforeAutospacing="1" w:afterAutospacing="1" w:line="276" w:lineRule="auto"/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</w:pPr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Jednak wyraźne różnice w tych działaniach widać w przekroju pokoleniowym: największą gotowość do zmiany pracy deklarują </w:t>
      </w:r>
      <w:proofErr w:type="spellStart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milenialsi</w:t>
      </w:r>
      <w:proofErr w:type="spellEnd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– łącznie 64 proc. z nich aktywnie szuka pracy lub rozgląda się za ofertami – oraz </w:t>
      </w:r>
      <w:proofErr w:type="spellStart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Zetki</w:t>
      </w:r>
      <w:proofErr w:type="spellEnd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(62 proc.). Dla pokolenia Y i baby </w:t>
      </w:r>
      <w:proofErr w:type="spellStart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boomers</w:t>
      </w:r>
      <w:proofErr w:type="spellEnd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to łącznie 52 proc. i 42 proc. W przypadku zajmowanych stanowisk aktywne poszukiwanie pracy i przeglądanie ofert łącznie deklarują najczęściej inżynierowie (79 proc.), sprzedawcy i kasjerzy (64 proc.) oraz pracownicy biurowi i administracyjni (55 proc.), a w ujęciu sektorowym pracownicy z branży finansów i ubezpieczeń 65 proc.), telekomunikacji i IT (62 proc.) oraz budownictwa (61 proc.). </w:t>
      </w:r>
    </w:p>
    <w:p w14:paraId="7AAEB782" w14:textId="77777777" w:rsidR="00EC6A2F" w:rsidRDefault="00EC6A2F" w:rsidP="00EC6A2F">
      <w:pPr>
        <w:spacing w:beforeAutospacing="1" w:afterAutospacing="1" w:line="259" w:lineRule="auto"/>
        <w:rPr>
          <w:rFonts w:ascii="Tahoma" w:eastAsia="Arial" w:hAnsi="Tahoma" w:cs="Tahoma"/>
          <w:b/>
          <w:bCs/>
          <w:color w:val="0070C0"/>
          <w:sz w:val="20"/>
          <w:szCs w:val="20"/>
          <w:lang w:val="pl-PL"/>
        </w:rPr>
      </w:pPr>
      <w:r w:rsidRPr="3DB8E406">
        <w:rPr>
          <w:rFonts w:ascii="Tahoma" w:eastAsia="Arial" w:hAnsi="Tahoma" w:cs="Tahoma"/>
          <w:b/>
          <w:bCs/>
          <w:color w:val="0070C0"/>
          <w:sz w:val="20"/>
          <w:szCs w:val="20"/>
          <w:lang w:val="pl-PL"/>
        </w:rPr>
        <w:t xml:space="preserve">Rekordowo długi czas poszukiwania nowej pracy </w:t>
      </w:r>
    </w:p>
    <w:p w14:paraId="1BC2E832" w14:textId="77777777" w:rsidR="00EC6A2F" w:rsidRDefault="00EC6A2F" w:rsidP="00EC6A2F">
      <w:pPr>
        <w:spacing w:beforeAutospacing="1" w:afterAutospacing="1" w:line="259" w:lineRule="auto"/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</w:pPr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Średni czas poszukiwania nowej pracy w Polsce wyniósł w 2025 roku prawie 4,5 miesiąca, co stanowi rekord w historii badania od 2017 roku i oznacza wzrost o 1,5 miesiąca w stosunku do analogicznego okresu ubiegłego roku. </w:t>
      </w:r>
    </w:p>
    <w:p w14:paraId="3BA987E3" w14:textId="2C3FD7CC" w:rsidR="00EC6A2F" w:rsidRDefault="00EC6A2F" w:rsidP="00EC6A2F">
      <w:pPr>
        <w:spacing w:beforeAutospacing="1" w:afterAutospacing="1" w:line="276" w:lineRule="auto"/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</w:pPr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Najwięcej osób znalazło pracę w czasie 2–3 miesięcy (37 proc.), ale prawie 10 proc. poszukiwało jej od 7 do 12 miesięcy. Kobiety szukają pracy średnio blisko 5 miesięcy, a mężczyźni ponad 4 miesiące. Pokolenie baby </w:t>
      </w:r>
      <w:proofErr w:type="spellStart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boomers</w:t>
      </w:r>
      <w:proofErr w:type="spellEnd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poszukuje pracy najdłużej – ponad 7 miesięcy, a </w:t>
      </w:r>
      <w:proofErr w:type="spellStart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Zetki</w:t>
      </w:r>
      <w:proofErr w:type="spellEnd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, </w:t>
      </w:r>
      <w:proofErr w:type="spellStart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milenialsi</w:t>
      </w:r>
      <w:proofErr w:type="spellEnd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i </w:t>
      </w:r>
      <w:r w:rsidR="0035635D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pokolenie Y – około 4 miesiące.</w:t>
      </w:r>
    </w:p>
    <w:p w14:paraId="65FD9642" w14:textId="4C7A56B7" w:rsidR="0035635D" w:rsidRPr="0035635D" w:rsidRDefault="0035635D" w:rsidP="00EC6A2F">
      <w:pPr>
        <w:spacing w:line="276" w:lineRule="auto"/>
        <w:rPr>
          <w:rFonts w:ascii="Tahoma" w:hAnsi="Tahoma" w:cs="Tahoma"/>
          <w:b/>
          <w:bCs/>
          <w:sz w:val="20"/>
          <w:szCs w:val="20"/>
          <w:lang w:val="pl-PL"/>
        </w:rPr>
      </w:pPr>
      <w:r w:rsidRPr="3DB8E406">
        <w:rPr>
          <w:rFonts w:ascii="Tahoma" w:eastAsia="Tahoma" w:hAnsi="Tahoma" w:cs="Tahoma"/>
          <w:i/>
          <w:iCs/>
          <w:sz w:val="19"/>
          <w:szCs w:val="19"/>
          <w:lang w:val="pl-PL"/>
        </w:rPr>
        <w:t>–</w:t>
      </w:r>
      <w:r>
        <w:rPr>
          <w:rFonts w:ascii="Tahoma" w:eastAsia="Tahoma" w:hAnsi="Tahoma" w:cs="Tahoma"/>
          <w:i/>
          <w:iCs/>
          <w:sz w:val="19"/>
          <w:szCs w:val="19"/>
          <w:lang w:val="pl-PL"/>
        </w:rPr>
        <w:t xml:space="preserve"> Chociaż sytuacja na rynku pracy ciągle jest niezła, to trudno nie zauważyć, że jesteśmy w trendzie spadkowym. O dłuższym okresie poszukiwania pracy i mniejszym wyborze ofert informują urzędy pracy, ale nawet stopa bezrobocia rejestrowanego pozbawia nas złudzeń – we wrześniu miała sięgnąć 5,6 proc., o 0,6 pkt proc. więcej niż w analogicznym miesiącu roku poprzedniego. Od prawie dwóch lat spada nam zatrudnienie w sektorze przedsiębiorstw, a zjawisko to raczej przyśpiesza, niż hamuje – licząc rok do roku ostatnio spadki wynoszą blisko 50 tys. etatów. Ożywienie gospodarcze nie przyniosło jeszcze wyraźnego wzrostu zamówień w przedsiębiorstwach, więc starając się poprawiać wyniki finansowe czasem zwalniają pracowników, ale częściej nie zatrudniają nowych. Stąd rosnące wyzwania dla tych, którzy mierzą się z poszukiwaniem nowego miejsca pracy i najgorsze w historii badania Monitor Rynku Pracy wyniki dotyczące oceny szans znalezienia pracy </w:t>
      </w:r>
      <w:r>
        <w:rPr>
          <w:rFonts w:ascii="Tahoma" w:eastAsia="Tahoma" w:hAnsi="Tahoma" w:cs="Tahoma"/>
          <w:i/>
          <w:iCs/>
          <w:sz w:val="19"/>
          <w:szCs w:val="19"/>
          <w:lang w:val="pl-PL"/>
        </w:rPr>
        <w:lastRenderedPageBreak/>
        <w:t xml:space="preserve">takiej samej lub lepszej od tej, jaką ankietowany już ma. Wpływ na ten stan rzeczy ma także stosowanie w wielu branżach sztucznej inteligencji, co może niekiedy zmniejszać zapotrzebowanie na pracowników, jednak w większości branż kluczowa jest sytuacja makroekonomiczna </w:t>
      </w:r>
      <w:r w:rsidRPr="0035635D">
        <w:rPr>
          <w:rFonts w:ascii="Tahoma" w:eastAsia="Tahoma" w:hAnsi="Tahoma" w:cs="Tahoma"/>
          <w:iCs/>
          <w:sz w:val="19"/>
          <w:szCs w:val="19"/>
          <w:lang w:val="pl-PL"/>
        </w:rPr>
        <w:t>–</w:t>
      </w:r>
      <w:r>
        <w:rPr>
          <w:rFonts w:ascii="Tahoma" w:eastAsia="Tahoma" w:hAnsi="Tahoma" w:cs="Tahoma"/>
          <w:color w:val="000000" w:themeColor="text1"/>
          <w:lang w:val="pl-PL"/>
        </w:rPr>
        <w:t xml:space="preserve"> </w:t>
      </w:r>
      <w:r w:rsidRPr="0035635D">
        <w:rPr>
          <w:rFonts w:ascii="Tahoma" w:eastAsia="Arial" w:hAnsi="Tahoma" w:cs="Tahoma"/>
          <w:bCs/>
          <w:sz w:val="20"/>
          <w:szCs w:val="20"/>
          <w:lang w:val="pl-PL"/>
        </w:rPr>
        <w:t>ocenia</w:t>
      </w:r>
      <w:r w:rsidRPr="00346A1B">
        <w:rPr>
          <w:rFonts w:ascii="Tahoma" w:eastAsia="Arial" w:hAnsi="Tahoma" w:cs="Tahoma"/>
          <w:sz w:val="20"/>
          <w:szCs w:val="20"/>
          <w:lang w:val="pl-PL"/>
        </w:rPr>
        <w:t xml:space="preserve"> </w:t>
      </w:r>
      <w:r w:rsidRPr="008C4DA6">
        <w:rPr>
          <w:rFonts w:ascii="Tahoma" w:eastAsia="Arial" w:hAnsi="Tahoma" w:cs="Tahoma"/>
          <w:b/>
          <w:bCs/>
          <w:sz w:val="20"/>
          <w:szCs w:val="20"/>
          <w:lang w:val="pl-PL"/>
        </w:rPr>
        <w:t xml:space="preserve">Łukasz Komuda, ekspert rynku pracy Fundacji Inicjatyw Społeczno-Ekonomicznych i współautor </w:t>
      </w:r>
      <w:proofErr w:type="spellStart"/>
      <w:r w:rsidRPr="008C4DA6">
        <w:rPr>
          <w:rFonts w:ascii="Tahoma" w:eastAsia="Arial" w:hAnsi="Tahoma" w:cs="Tahoma"/>
          <w:b/>
          <w:bCs/>
          <w:sz w:val="20"/>
          <w:szCs w:val="20"/>
          <w:lang w:val="pl-PL"/>
        </w:rPr>
        <w:t>podcastu</w:t>
      </w:r>
      <w:proofErr w:type="spellEnd"/>
      <w:r w:rsidRPr="008C4DA6">
        <w:rPr>
          <w:rFonts w:ascii="Tahoma" w:eastAsia="Arial" w:hAnsi="Tahoma" w:cs="Tahoma"/>
          <w:b/>
          <w:bCs/>
          <w:sz w:val="20"/>
          <w:szCs w:val="20"/>
          <w:lang w:val="pl-PL"/>
        </w:rPr>
        <w:t xml:space="preserve"> „Ekonomia i cała reszta”.</w:t>
      </w:r>
    </w:p>
    <w:p w14:paraId="28523899" w14:textId="77777777" w:rsidR="00EC6A2F" w:rsidRDefault="00EC6A2F" w:rsidP="00EC6A2F">
      <w:pPr>
        <w:spacing w:beforeAutospacing="1" w:afterAutospacing="1" w:line="259" w:lineRule="auto"/>
        <w:rPr>
          <w:rFonts w:ascii="Tahoma" w:eastAsia="Arial" w:hAnsi="Tahoma" w:cs="Tahoma"/>
          <w:b/>
          <w:bCs/>
          <w:color w:val="0070C0"/>
          <w:sz w:val="20"/>
          <w:szCs w:val="20"/>
          <w:lang w:val="pl-PL"/>
        </w:rPr>
      </w:pPr>
      <w:r w:rsidRPr="3DB8E406">
        <w:rPr>
          <w:rFonts w:ascii="Tahoma" w:eastAsia="Arial" w:hAnsi="Tahoma" w:cs="Tahoma"/>
          <w:b/>
          <w:bCs/>
          <w:color w:val="0070C0"/>
          <w:sz w:val="20"/>
          <w:szCs w:val="20"/>
          <w:lang w:val="pl-PL"/>
        </w:rPr>
        <w:t xml:space="preserve">Wierzymy, że znajdziemy pracę, ale niekoniecznie lepszą </w:t>
      </w:r>
    </w:p>
    <w:p w14:paraId="41F99320" w14:textId="3CEED815" w:rsidR="00EC6A2F" w:rsidRDefault="00EC6A2F" w:rsidP="00EC6A2F">
      <w:pPr>
        <w:spacing w:beforeAutospacing="1" w:afterAutospacing="1" w:line="276" w:lineRule="auto"/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</w:pPr>
      <w:r w:rsidRPr="6E9201ED">
        <w:rPr>
          <w:rFonts w:ascii="Tahoma" w:eastAsia="Tahoma" w:hAnsi="Tahoma" w:cs="Tahoma"/>
          <w:sz w:val="20"/>
          <w:szCs w:val="20"/>
          <w:lang w:val="pl-PL"/>
        </w:rPr>
        <w:t xml:space="preserve">Przekonanie o dostępności pracy pozostaje względnie wysokie w kontekście szans znalezienia </w:t>
      </w:r>
      <w:r w:rsidR="00226FCF">
        <w:rPr>
          <w:rFonts w:ascii="Tahoma" w:eastAsia="Tahoma" w:hAnsi="Tahoma" w:cs="Tahoma"/>
          <w:sz w:val="20"/>
          <w:szCs w:val="20"/>
          <w:lang w:val="pl-PL"/>
        </w:rPr>
        <w:t xml:space="preserve">jakiegokolwiek zatrudnienia </w:t>
      </w:r>
      <w:r w:rsidRPr="6E9201ED">
        <w:rPr>
          <w:rFonts w:ascii="Tahoma" w:eastAsia="Tahoma" w:hAnsi="Tahoma" w:cs="Tahoma"/>
          <w:sz w:val="20"/>
          <w:szCs w:val="20"/>
          <w:lang w:val="pl-PL"/>
        </w:rPr>
        <w:t xml:space="preserve">– prawie 30 proc. badanych uważa, że zdecydowanie znajdzie </w:t>
      </w:r>
      <w:r w:rsidR="00226FCF">
        <w:rPr>
          <w:rFonts w:ascii="Tahoma" w:eastAsia="Tahoma" w:hAnsi="Tahoma" w:cs="Tahoma"/>
          <w:sz w:val="20"/>
          <w:szCs w:val="20"/>
          <w:lang w:val="pl-PL"/>
        </w:rPr>
        <w:t xml:space="preserve">je </w:t>
      </w:r>
      <w:r w:rsidRPr="6E9201ED">
        <w:rPr>
          <w:rFonts w:ascii="Tahoma" w:eastAsia="Tahoma" w:hAnsi="Tahoma" w:cs="Tahoma"/>
          <w:sz w:val="20"/>
          <w:szCs w:val="20"/>
          <w:lang w:val="pl-PL"/>
        </w:rPr>
        <w:t>w ciągu 6 miesięcy</w:t>
      </w:r>
      <w:r w:rsidR="00226FCF">
        <w:rPr>
          <w:rFonts w:ascii="Tahoma" w:eastAsia="Tahoma" w:hAnsi="Tahoma" w:cs="Tahoma"/>
          <w:sz w:val="20"/>
          <w:szCs w:val="20"/>
          <w:lang w:val="pl-PL"/>
        </w:rPr>
        <w:t>.</w:t>
      </w:r>
      <w:r w:rsidRPr="6E9201ED">
        <w:rPr>
          <w:rFonts w:ascii="Tahoma" w:eastAsia="Tahoma" w:hAnsi="Tahoma" w:cs="Tahoma"/>
          <w:sz w:val="20"/>
          <w:szCs w:val="20"/>
          <w:lang w:val="pl-PL"/>
        </w:rPr>
        <w:t xml:space="preserve"> </w:t>
      </w:r>
      <w:r w:rsidR="00226FCF">
        <w:rPr>
          <w:rFonts w:ascii="Tahoma" w:eastAsia="Tahoma" w:hAnsi="Tahoma" w:cs="Tahoma"/>
          <w:sz w:val="20"/>
          <w:szCs w:val="20"/>
          <w:lang w:val="pl-PL"/>
        </w:rPr>
        <w:t>J</w:t>
      </w:r>
      <w:r w:rsidRPr="6E9201ED">
        <w:rPr>
          <w:rFonts w:ascii="Tahoma" w:eastAsia="Tahoma" w:hAnsi="Tahoma" w:cs="Tahoma"/>
          <w:sz w:val="20"/>
          <w:szCs w:val="20"/>
          <w:lang w:val="pl-PL"/>
        </w:rPr>
        <w:t>ednak postrzeganie szans na pracę równie dobrą lub lepszą od obecnej spadło do rekordowo niskiego poziomu</w:t>
      </w:r>
      <w:r w:rsidR="00226FCF">
        <w:rPr>
          <w:rFonts w:ascii="Tahoma" w:eastAsia="Tahoma" w:hAnsi="Tahoma" w:cs="Tahoma"/>
          <w:sz w:val="20"/>
          <w:szCs w:val="20"/>
          <w:lang w:val="pl-PL"/>
        </w:rPr>
        <w:t xml:space="preserve"> (w ciągu ostatnich dwóch lat o 10 </w:t>
      </w:r>
      <w:proofErr w:type="spellStart"/>
      <w:r w:rsidR="00226FCF">
        <w:rPr>
          <w:rFonts w:ascii="Tahoma" w:eastAsia="Tahoma" w:hAnsi="Tahoma" w:cs="Tahoma"/>
          <w:sz w:val="20"/>
          <w:szCs w:val="20"/>
          <w:lang w:val="pl-PL"/>
        </w:rPr>
        <w:t>p.p</w:t>
      </w:r>
      <w:proofErr w:type="spellEnd"/>
      <w:r w:rsidR="00226FCF">
        <w:rPr>
          <w:rFonts w:ascii="Tahoma" w:eastAsia="Tahoma" w:hAnsi="Tahoma" w:cs="Tahoma"/>
          <w:sz w:val="20"/>
          <w:szCs w:val="20"/>
          <w:lang w:val="pl-PL"/>
        </w:rPr>
        <w:t>.)</w:t>
      </w:r>
      <w:r w:rsidRPr="6E9201ED">
        <w:rPr>
          <w:rFonts w:ascii="Tahoma" w:eastAsia="Tahoma" w:hAnsi="Tahoma" w:cs="Tahoma"/>
          <w:sz w:val="20"/>
          <w:szCs w:val="20"/>
          <w:lang w:val="pl-PL"/>
        </w:rPr>
        <w:t xml:space="preserve">. Taką perspektywę zadeklarowało z pewnością jedynie 12 proc. Polek i Polaków. </w:t>
      </w:r>
    </w:p>
    <w:p w14:paraId="4AE59E60" w14:textId="337C3546" w:rsidR="00EC6A2F" w:rsidRDefault="00EC6A2F" w:rsidP="00EC6A2F">
      <w:pPr>
        <w:spacing w:beforeAutospacing="1" w:afterAutospacing="1" w:line="276" w:lineRule="auto"/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</w:pPr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Kobiety i </w:t>
      </w:r>
      <w:proofErr w:type="spellStart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Zetki</w:t>
      </w:r>
      <w:proofErr w:type="spellEnd"/>
      <w:r w:rsidRPr="3DB8E406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oceniają szanse znalezienia równie dobrej lub lepszej pracy mniej optymistycznie niż reszta populacji (odpowiednio 57 proc. i 59 proc.). Największy optymizm deklarują inżynierowie (79 proc. z nich widzi perspektywę znalezienia nowej pracy), kierowcy (69 proc.) oraz specjaliści i top management (64 proc.), natomiast najmniejszy odsetek optymistów odnotowano wśród pracowników administracji i biur (52 proc.), mistrzów i brygadzistów (54 proc.) oraz sprzedawców i kasjerów (55 proc.). W ujęciu sektorowym najwięcej szans na równie dobre lub lepsze zatrudnienie widzą pracownicy hotelarstwa i gastronomii (73 proc.), transportu i logistyki (66 proc.) oraz opieki zdrowotnej i pomocy społecznej (65 proc.), a najmniej – administracji publicznej (52 proc.), handlu (56 proc.) oraz finansów i ubezpieczeń (57 proc.).</w:t>
      </w:r>
    </w:p>
    <w:p w14:paraId="5B952347" w14:textId="77777777" w:rsidR="00FA776B" w:rsidRDefault="00EC6A2F" w:rsidP="00FA776B">
      <w:pPr>
        <w:spacing w:line="276" w:lineRule="auto"/>
        <w:rPr>
          <w:rFonts w:ascii="Tahoma" w:hAnsi="Tahoma" w:cs="Tahoma"/>
          <w:b/>
          <w:bCs/>
          <w:sz w:val="20"/>
          <w:szCs w:val="20"/>
          <w:lang w:val="pl-PL"/>
        </w:rPr>
      </w:pPr>
      <w:r w:rsidRPr="6E9201ED">
        <w:rPr>
          <w:rFonts w:ascii="Tahoma" w:eastAsia="Tahoma" w:hAnsi="Tahoma" w:cs="Tahoma"/>
          <w:i/>
          <w:iCs/>
          <w:sz w:val="19"/>
          <w:szCs w:val="19"/>
          <w:lang w:val="pl-PL"/>
        </w:rPr>
        <w:t>–</w:t>
      </w:r>
      <w:r w:rsidRPr="6E9201ED">
        <w:rPr>
          <w:rFonts w:ascii="Tahoma" w:hAnsi="Tahoma" w:cs="Tahoma"/>
          <w:i/>
          <w:iCs/>
          <w:sz w:val="20"/>
          <w:szCs w:val="20"/>
          <w:lang w:val="pl-PL"/>
        </w:rPr>
        <w:t xml:space="preserve"> Rynek pracy w Polsce udowadnia, że stabilność może iść w parze z czujnością pracowników. Choć rotacja pozostaje umiarkowana, niemal połowa zatrudnionych stale obserwuje rynek, wybierając moment, w którym zmiana pracy ma sens. </w:t>
      </w:r>
      <w:r w:rsidR="00226FCF">
        <w:rPr>
          <w:rFonts w:ascii="Tahoma" w:hAnsi="Tahoma" w:cs="Tahoma"/>
          <w:i/>
          <w:iCs/>
          <w:sz w:val="20"/>
          <w:szCs w:val="20"/>
          <w:lang w:val="pl-PL"/>
        </w:rPr>
        <w:t xml:space="preserve">Obserwowane spowolnienie gospodarcze temu nie sprzyja. </w:t>
      </w:r>
      <w:r w:rsidRPr="6E9201ED">
        <w:rPr>
          <w:rFonts w:ascii="Tahoma" w:hAnsi="Tahoma" w:cs="Tahoma"/>
          <w:i/>
          <w:iCs/>
          <w:sz w:val="20"/>
          <w:szCs w:val="20"/>
          <w:lang w:val="pl-PL"/>
        </w:rPr>
        <w:t>To tworzy sytuację, w której decyzje zawodowe stają się strategiczne – nie kieruje nimi impuls, lecz precyzyjna ocena warunków, możliwości rozwoju i dopasowania do własnych kompetencji. W praktyce oznacza to, że firmy funkcjonują w świecie „spokojnej presji”: nie doświadczają masowej rotacji, ale każda atrakcyjna oferta może wywołać szybki ruch w segmentach o wysokiej aktywności</w:t>
      </w:r>
      <w:r w:rsidR="00226FCF">
        <w:rPr>
          <w:rFonts w:ascii="Tahoma" w:hAnsi="Tahoma" w:cs="Tahoma"/>
          <w:i/>
          <w:iCs/>
          <w:sz w:val="20"/>
          <w:szCs w:val="20"/>
          <w:lang w:val="pl-PL"/>
        </w:rPr>
        <w:t>, a powrót do wysokiej rotacji jest niemal pewny, gdy sytuacja ekonomiczna przedsiębiorców wyraźnie zacznie się poprawiać</w:t>
      </w:r>
      <w:r w:rsidRPr="6E9201ED">
        <w:rPr>
          <w:rFonts w:ascii="Tahoma" w:hAnsi="Tahoma" w:cs="Tahoma"/>
          <w:i/>
          <w:iCs/>
          <w:sz w:val="20"/>
          <w:szCs w:val="20"/>
          <w:lang w:val="pl-PL"/>
        </w:rPr>
        <w:t xml:space="preserve"> Widzimy więc wyraźną dualność rynku: z jednej strony stabilność, z drugiej – nieustanne negocjacje wartości i oczekiwań. Sukces firm w tym środowisku zależy od ich zdolności do tworzenia warunków, które pozwalają pracownikom czuć się docenionym, jednocześnie koncentrując uwagę na możliwościach rozwoju – tam, gdzie te elementy się łączą, powstaje realna przewaga konkurencyjna</w:t>
      </w:r>
      <w:r w:rsidR="00226FCF">
        <w:rPr>
          <w:rFonts w:ascii="Tahoma" w:hAnsi="Tahoma" w:cs="Tahoma"/>
          <w:i/>
          <w:iCs/>
          <w:sz w:val="20"/>
          <w:szCs w:val="20"/>
          <w:lang w:val="pl-PL"/>
        </w:rPr>
        <w:t>, która pozwoli także przygotować się firmom na powrót do wysokich wskaźników rotacji pracowników</w:t>
      </w:r>
      <w:r w:rsidRPr="6E9201ED">
        <w:rPr>
          <w:rFonts w:ascii="Tahoma" w:hAnsi="Tahoma" w:cs="Tahoma"/>
          <w:i/>
          <w:iCs/>
          <w:sz w:val="20"/>
          <w:szCs w:val="20"/>
          <w:lang w:val="pl-PL"/>
        </w:rPr>
        <w:t xml:space="preserve"> </w:t>
      </w:r>
      <w:r w:rsidRPr="6E9201ED">
        <w:rPr>
          <w:rFonts w:ascii="Tahoma" w:eastAsia="Tahoma" w:hAnsi="Tahoma" w:cs="Tahoma"/>
          <w:i/>
          <w:iCs/>
          <w:sz w:val="19"/>
          <w:szCs w:val="19"/>
          <w:lang w:val="pl-PL"/>
        </w:rPr>
        <w:t xml:space="preserve">– </w:t>
      </w:r>
      <w:r w:rsidRPr="00FA776B">
        <w:rPr>
          <w:rFonts w:ascii="Tahoma" w:hAnsi="Tahoma" w:cs="Tahoma"/>
          <w:bCs/>
          <w:sz w:val="20"/>
          <w:szCs w:val="20"/>
          <w:lang w:val="pl-PL"/>
        </w:rPr>
        <w:t>podsumowuje</w:t>
      </w:r>
      <w:r w:rsidRPr="6E9201ED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FA776B">
        <w:rPr>
          <w:rFonts w:ascii="Tahoma" w:hAnsi="Tahoma" w:cs="Tahoma"/>
          <w:b/>
          <w:bCs/>
          <w:sz w:val="20"/>
          <w:szCs w:val="20"/>
          <w:lang w:val="pl-PL"/>
        </w:rPr>
        <w:t xml:space="preserve">Marzena </w:t>
      </w:r>
      <w:proofErr w:type="spellStart"/>
      <w:r w:rsidR="00FA776B">
        <w:rPr>
          <w:rFonts w:ascii="Tahoma" w:hAnsi="Tahoma" w:cs="Tahoma"/>
          <w:b/>
          <w:bCs/>
          <w:sz w:val="20"/>
          <w:szCs w:val="20"/>
          <w:lang w:val="pl-PL"/>
        </w:rPr>
        <w:t>Milinkiewicz</w:t>
      </w:r>
      <w:proofErr w:type="spellEnd"/>
      <w:r w:rsidR="00FA776B" w:rsidRPr="3DB8E406">
        <w:rPr>
          <w:rFonts w:ascii="Tahoma" w:hAnsi="Tahoma" w:cs="Tahoma"/>
          <w:b/>
          <w:bCs/>
          <w:sz w:val="20"/>
          <w:szCs w:val="20"/>
          <w:lang w:val="pl-PL"/>
        </w:rPr>
        <w:t xml:space="preserve">, </w:t>
      </w:r>
      <w:r w:rsidR="00FA776B">
        <w:rPr>
          <w:rFonts w:ascii="Tahoma" w:hAnsi="Tahoma" w:cs="Tahoma"/>
          <w:b/>
          <w:bCs/>
          <w:sz w:val="20"/>
          <w:szCs w:val="20"/>
          <w:lang w:val="pl-PL"/>
        </w:rPr>
        <w:t xml:space="preserve">Dyrektor Zarządzająca </w:t>
      </w:r>
      <w:proofErr w:type="spellStart"/>
      <w:r w:rsidR="00FA776B" w:rsidRPr="3DB8E406">
        <w:rPr>
          <w:rFonts w:ascii="Tahoma" w:hAnsi="Tahoma" w:cs="Tahoma"/>
          <w:b/>
          <w:bCs/>
          <w:sz w:val="20"/>
          <w:szCs w:val="20"/>
          <w:lang w:val="pl-PL"/>
        </w:rPr>
        <w:t>Randstad</w:t>
      </w:r>
      <w:proofErr w:type="spellEnd"/>
      <w:r w:rsidR="00FA776B">
        <w:rPr>
          <w:rFonts w:ascii="Tahoma" w:hAnsi="Tahoma" w:cs="Tahoma"/>
          <w:b/>
          <w:bCs/>
          <w:sz w:val="20"/>
          <w:szCs w:val="20"/>
          <w:lang w:val="pl-PL"/>
        </w:rPr>
        <w:t xml:space="preserve"> Polska</w:t>
      </w:r>
      <w:r w:rsidR="00FA776B" w:rsidRPr="3DB8E406">
        <w:rPr>
          <w:rFonts w:ascii="Tahoma" w:hAnsi="Tahoma" w:cs="Tahoma"/>
          <w:b/>
          <w:bCs/>
          <w:sz w:val="20"/>
          <w:szCs w:val="20"/>
          <w:lang w:val="pl-PL"/>
        </w:rPr>
        <w:t>.</w:t>
      </w:r>
    </w:p>
    <w:p w14:paraId="13ADCEC5" w14:textId="4D65F5D7" w:rsidR="00EC6A2F" w:rsidRDefault="00EC6A2F" w:rsidP="00EC6A2F">
      <w:pPr>
        <w:spacing w:line="276" w:lineRule="auto"/>
        <w:rPr>
          <w:rFonts w:ascii="Tahoma" w:eastAsia="Tahoma" w:hAnsi="Tahoma" w:cs="Tahoma"/>
          <w:i/>
          <w:iCs/>
          <w:sz w:val="19"/>
          <w:szCs w:val="19"/>
          <w:lang w:val="pl-PL"/>
        </w:rPr>
      </w:pPr>
    </w:p>
    <w:p w14:paraId="3F14907A" w14:textId="77777777" w:rsidR="00EC6A2F" w:rsidRDefault="00EC6A2F" w:rsidP="00D72017">
      <w:pPr>
        <w:pStyle w:val="HeaderAddress"/>
        <w:spacing w:line="276" w:lineRule="auto"/>
        <w:rPr>
          <w:color w:val="0070C0"/>
          <w:sz w:val="18"/>
          <w:szCs w:val="18"/>
          <w:u w:color="0070C0"/>
          <w:lang w:val="pl-PL"/>
        </w:rPr>
      </w:pPr>
    </w:p>
    <w:p w14:paraId="37DF8A94" w14:textId="4C7BC584" w:rsidR="005F07BC" w:rsidRPr="00010C3C" w:rsidRDefault="001A7186" w:rsidP="00D72017">
      <w:pPr>
        <w:pStyle w:val="HeaderAddress"/>
        <w:spacing w:line="276" w:lineRule="auto"/>
        <w:rPr>
          <w:rFonts w:eastAsia="Tahoma Bold"/>
          <w:color w:val="0070C0"/>
          <w:sz w:val="18"/>
          <w:szCs w:val="18"/>
          <w:u w:color="0070C0"/>
          <w:lang w:val="pl-PL"/>
        </w:rPr>
      </w:pPr>
      <w:r w:rsidRPr="00010C3C">
        <w:rPr>
          <w:color w:val="0070C0"/>
          <w:sz w:val="18"/>
          <w:szCs w:val="18"/>
          <w:u w:color="0070C0"/>
          <w:lang w:val="pl-PL"/>
        </w:rPr>
        <w:t>Kontakt:</w:t>
      </w:r>
    </w:p>
    <w:p w14:paraId="15D42051" w14:textId="77777777" w:rsidR="005F07BC" w:rsidRPr="00010C3C" w:rsidRDefault="001A7186" w:rsidP="00D72017">
      <w:pPr>
        <w:pStyle w:val="HeaderAddress"/>
        <w:spacing w:line="276" w:lineRule="auto"/>
        <w:rPr>
          <w:rFonts w:eastAsia="Tahoma Bold"/>
          <w:sz w:val="18"/>
          <w:szCs w:val="18"/>
          <w:lang w:val="pl-PL"/>
        </w:rPr>
      </w:pPr>
      <w:r w:rsidRPr="00010C3C">
        <w:rPr>
          <w:sz w:val="18"/>
          <w:szCs w:val="18"/>
          <w:lang w:val="pl-PL"/>
        </w:rPr>
        <w:t>Mateusz Żydek</w:t>
      </w:r>
    </w:p>
    <w:p w14:paraId="05E88105" w14:textId="77777777" w:rsidR="005F07BC" w:rsidRPr="00010C3C" w:rsidRDefault="001A7186" w:rsidP="00D72017">
      <w:pPr>
        <w:pStyle w:val="HeaderAddress"/>
        <w:spacing w:line="276" w:lineRule="auto"/>
        <w:rPr>
          <w:sz w:val="18"/>
          <w:szCs w:val="18"/>
          <w:lang w:val="pl-PL"/>
        </w:rPr>
      </w:pPr>
      <w:r w:rsidRPr="00010C3C">
        <w:rPr>
          <w:sz w:val="18"/>
          <w:szCs w:val="18"/>
          <w:lang w:val="pl-PL"/>
        </w:rPr>
        <w:t>Rzecznik Prasowy</w:t>
      </w:r>
    </w:p>
    <w:p w14:paraId="43AA5C22" w14:textId="77777777" w:rsidR="005F07BC" w:rsidRPr="00010C3C" w:rsidRDefault="001A7186" w:rsidP="00D72017">
      <w:pPr>
        <w:pStyle w:val="HeaderAddress"/>
        <w:spacing w:line="276" w:lineRule="auto"/>
        <w:rPr>
          <w:sz w:val="18"/>
          <w:szCs w:val="18"/>
          <w:lang w:val="pl-PL"/>
        </w:rPr>
      </w:pPr>
      <w:r w:rsidRPr="00010C3C">
        <w:rPr>
          <w:sz w:val="18"/>
          <w:szCs w:val="18"/>
          <w:lang w:val="pl-PL"/>
        </w:rPr>
        <w:t>Tel. +48 665 305 902</w:t>
      </w:r>
    </w:p>
    <w:p w14:paraId="799D4A7B" w14:textId="77777777" w:rsidR="005F07BC" w:rsidRPr="00010C3C" w:rsidRDefault="001A7186" w:rsidP="00D72017">
      <w:pPr>
        <w:pStyle w:val="HeaderAddress"/>
        <w:spacing w:line="276" w:lineRule="auto"/>
        <w:rPr>
          <w:rStyle w:val="Brak"/>
          <w:color w:val="4F81BD"/>
          <w:sz w:val="18"/>
          <w:szCs w:val="18"/>
          <w:u w:color="4F81BD"/>
          <w:lang w:val="pl-PL"/>
        </w:rPr>
      </w:pPr>
      <w:r w:rsidRPr="00010C3C">
        <w:rPr>
          <w:sz w:val="18"/>
          <w:szCs w:val="18"/>
          <w:lang w:val="pl-PL"/>
        </w:rPr>
        <w:t xml:space="preserve">Email: </w:t>
      </w:r>
      <w:hyperlink r:id="rId10" w:history="1">
        <w:r w:rsidRPr="00010C3C">
          <w:rPr>
            <w:rStyle w:val="Hyperlink0"/>
            <w:lang w:val="pl-PL"/>
          </w:rPr>
          <w:t>mateusz.zydek@randstad.pl</w:t>
        </w:r>
      </w:hyperlink>
    </w:p>
    <w:p w14:paraId="223F517D" w14:textId="77777777" w:rsidR="005F07BC" w:rsidRPr="00010C3C" w:rsidRDefault="005F07BC" w:rsidP="00204078">
      <w:pPr>
        <w:pStyle w:val="HeaderAddress"/>
        <w:spacing w:line="276" w:lineRule="auto"/>
        <w:jc w:val="both"/>
        <w:rPr>
          <w:rStyle w:val="Brak"/>
          <w:color w:val="4F81BD"/>
          <w:sz w:val="18"/>
          <w:szCs w:val="18"/>
          <w:u w:color="4F81BD"/>
          <w:lang w:val="pl-PL"/>
        </w:rPr>
      </w:pPr>
    </w:p>
    <w:p w14:paraId="7225E52D" w14:textId="77777777" w:rsidR="005F07BC" w:rsidRPr="00010C3C" w:rsidRDefault="005F07BC" w:rsidP="00204078">
      <w:pPr>
        <w:pStyle w:val="Normalny1"/>
        <w:pBdr>
          <w:bottom w:val="single" w:sz="6" w:space="0" w:color="000000"/>
        </w:pBdr>
        <w:spacing w:line="276" w:lineRule="auto"/>
        <w:jc w:val="both"/>
        <w:rPr>
          <w:rStyle w:val="Brak"/>
          <w:rFonts w:eastAsia="Tahoma Bold"/>
          <w:sz w:val="14"/>
          <w:szCs w:val="14"/>
          <w:lang w:val="pl-PL"/>
        </w:rPr>
      </w:pPr>
    </w:p>
    <w:p w14:paraId="1480A6E0" w14:textId="0E6887DD" w:rsidR="02F55C5F" w:rsidRDefault="008660FC" w:rsidP="00C60E86">
      <w:pPr>
        <w:pStyle w:val="Tre"/>
        <w:spacing w:line="276" w:lineRule="auto"/>
        <w:rPr>
          <w:rStyle w:val="Brak"/>
          <w:rFonts w:ascii="Tahoma" w:hAnsi="Tahoma" w:cs="Tahoma"/>
          <w:sz w:val="16"/>
          <w:szCs w:val="16"/>
          <w:lang w:val="pl-PL"/>
        </w:rPr>
      </w:pPr>
      <w:r w:rsidRPr="00010C3C">
        <w:rPr>
          <w:rStyle w:val="Brak"/>
          <w:rFonts w:ascii="Tahoma" w:hAnsi="Tahoma" w:cs="Tahoma"/>
          <w:color w:val="4F81BD"/>
          <w:kern w:val="16"/>
          <w:u w:color="4F81BD"/>
          <w:lang w:val="pl-PL"/>
        </w:rPr>
        <w:br/>
      </w:r>
      <w:r w:rsidR="00EC6A2F" w:rsidRPr="00010C3C">
        <w:rPr>
          <w:rStyle w:val="Brak"/>
          <w:rFonts w:ascii="Tahoma" w:hAnsi="Tahoma" w:cs="Tahoma"/>
          <w:color w:val="4F81BD"/>
          <w:kern w:val="16"/>
          <w:sz w:val="16"/>
          <w:szCs w:val="16"/>
          <w:lang w:val="pl-PL"/>
        </w:rPr>
        <w:t>Monitor Rynku Pracy</w:t>
      </w:r>
      <w:r w:rsidR="00EC6A2F" w:rsidRPr="00010C3C">
        <w:rPr>
          <w:rStyle w:val="Brak"/>
          <w:rFonts w:ascii="Tahoma" w:hAnsi="Tahoma" w:cs="Tahoma"/>
          <w:color w:val="0070C0"/>
          <w:kern w:val="16"/>
          <w:sz w:val="16"/>
          <w:szCs w:val="16"/>
          <w:lang w:val="pl-PL"/>
        </w:rPr>
        <w:t xml:space="preserve"> </w:t>
      </w:r>
      <w:r w:rsidR="00EC6A2F" w:rsidRPr="00010C3C">
        <w:rPr>
          <w:rStyle w:val="Brak"/>
          <w:rFonts w:ascii="Tahoma" w:hAnsi="Tahoma" w:cs="Tahoma"/>
          <w:kern w:val="16"/>
          <w:sz w:val="16"/>
          <w:szCs w:val="16"/>
          <w:lang w:val="pl-PL"/>
        </w:rPr>
        <w:t xml:space="preserve">to sondaż </w:t>
      </w:r>
      <w:r w:rsidR="00EC6A2F" w:rsidRPr="00010C3C">
        <w:rPr>
          <w:rStyle w:val="Brak"/>
          <w:rFonts w:ascii="Tahoma" w:hAnsi="Tahoma" w:cs="Tahoma"/>
          <w:color w:val="4F81BD"/>
          <w:kern w:val="16"/>
          <w:sz w:val="16"/>
          <w:szCs w:val="16"/>
          <w:lang w:val="pl-PL"/>
        </w:rPr>
        <w:t xml:space="preserve">Instytutu Badawczego </w:t>
      </w:r>
      <w:proofErr w:type="spellStart"/>
      <w:r w:rsidR="00EC6A2F" w:rsidRPr="00010C3C">
        <w:rPr>
          <w:rStyle w:val="Brak"/>
          <w:rFonts w:ascii="Tahoma" w:hAnsi="Tahoma" w:cs="Tahoma"/>
          <w:color w:val="4F81BD"/>
          <w:kern w:val="16"/>
          <w:sz w:val="16"/>
          <w:szCs w:val="16"/>
          <w:lang w:val="pl-PL"/>
        </w:rPr>
        <w:t>Randstad</w:t>
      </w:r>
      <w:proofErr w:type="spellEnd"/>
      <w:r w:rsidR="00EC6A2F" w:rsidRPr="00010C3C">
        <w:rPr>
          <w:rStyle w:val="Brak"/>
          <w:rFonts w:ascii="Tahoma" w:hAnsi="Tahoma" w:cs="Tahoma"/>
          <w:kern w:val="16"/>
          <w:sz w:val="16"/>
          <w:szCs w:val="16"/>
          <w:lang w:val="pl-PL"/>
        </w:rPr>
        <w:t>, b</w:t>
      </w:r>
      <w:r w:rsidR="00EC6A2F" w:rsidRPr="68324DD8">
        <w:rPr>
          <w:rStyle w:val="Brak"/>
          <w:rFonts w:ascii="Tahoma" w:hAnsi="Tahoma" w:cs="Tahoma"/>
          <w:color w:val="000000" w:themeColor="text1"/>
          <w:sz w:val="16"/>
          <w:szCs w:val="16"/>
          <w:lang w:val="pl-PL"/>
        </w:rPr>
        <w:t xml:space="preserve">adanie Monitor Rynku Pracy realizowane jest od 2010 roku wśród osób pracujących minimum 24 godziny w tygodniu, zatrudnionych na podstawie umowy o pracę, </w:t>
      </w:r>
      <w:r w:rsidR="00EC6A2F" w:rsidRPr="68324DD8">
        <w:rPr>
          <w:rStyle w:val="Brak"/>
          <w:rFonts w:ascii="Tahoma" w:hAnsi="Tahoma" w:cs="Tahoma"/>
          <w:color w:val="000000" w:themeColor="text1"/>
          <w:sz w:val="16"/>
          <w:szCs w:val="16"/>
          <w:lang w:val="pl-PL"/>
        </w:rPr>
        <w:lastRenderedPageBreak/>
        <w:t xml:space="preserve">umów cywilno-prawnych, samozatrudnionych (o ile posiadają stałą umowę o świadczenie usług jednej firmie) w wieku 18-64 lata. Za pomocą metody CAWI, wspomaganego komputerowo wywiadu realizowanego przez Instytut Badań </w:t>
      </w:r>
      <w:proofErr w:type="spellStart"/>
      <w:r w:rsidR="00EC6A2F" w:rsidRPr="68324DD8">
        <w:rPr>
          <w:rStyle w:val="Brak"/>
          <w:rFonts w:ascii="Tahoma" w:hAnsi="Tahoma" w:cs="Tahoma"/>
          <w:sz w:val="16"/>
          <w:szCs w:val="16"/>
          <w:lang w:val="pl-PL"/>
        </w:rPr>
        <w:t>Pollster</w:t>
      </w:r>
      <w:proofErr w:type="spellEnd"/>
      <w:r w:rsidR="00EC6A2F" w:rsidRPr="68324DD8">
        <w:rPr>
          <w:rStyle w:val="Brak"/>
          <w:rFonts w:ascii="Tahoma" w:hAnsi="Tahoma" w:cs="Tahoma"/>
          <w:sz w:val="16"/>
          <w:szCs w:val="16"/>
          <w:lang w:val="pl-PL"/>
        </w:rPr>
        <w:t xml:space="preserve"> za pośrednictwem strony www, w dniach 12 sierpnia - 2 września 2025 roku w badaniu wzięła udział grupa 1000 respondentów, reprezentatywna ze względu na wiek, płeć i region zamieszkania. Maksymalny błąd statystyczny dla próby wynosi +/- 3,1%.</w:t>
      </w:r>
    </w:p>
    <w:p w14:paraId="0D5EE788" w14:textId="77777777" w:rsidR="00F41FAD" w:rsidRPr="00186E9C" w:rsidRDefault="00F41FAD" w:rsidP="00EC6A2F">
      <w:pPr>
        <w:spacing w:line="276" w:lineRule="auto"/>
        <w:ind w:left="851"/>
        <w:rPr>
          <w:rFonts w:ascii="Tahoma" w:hAnsi="Tahoma" w:cs="Tahoma"/>
          <w:sz w:val="16"/>
          <w:lang w:val="pl-PL"/>
        </w:rPr>
      </w:pPr>
    </w:p>
    <w:p w14:paraId="0CE50009" w14:textId="77777777" w:rsidR="00F41FAD" w:rsidRPr="00F41FAD" w:rsidRDefault="00F41FAD" w:rsidP="00C60E86">
      <w:pPr>
        <w:spacing w:line="276" w:lineRule="auto"/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</w:pPr>
      <w:proofErr w:type="spellStart"/>
      <w:r w:rsidRPr="00F41FAD">
        <w:rPr>
          <w:rStyle w:val="Brak"/>
          <w:rFonts w:ascii="Tahoma" w:eastAsia="Tahoma" w:hAnsi="Tahoma" w:cs="Tahoma"/>
          <w:color w:val="4F81BD"/>
          <w:sz w:val="16"/>
          <w:szCs w:val="16"/>
          <w:lang w:val="pl-PL"/>
        </w:rPr>
        <w:t>Randstad</w:t>
      </w:r>
      <w:proofErr w:type="spellEnd"/>
      <w:r w:rsidRPr="00F41FAD">
        <w:rPr>
          <w:rStyle w:val="Brak"/>
          <w:rFonts w:ascii="Tahoma" w:eastAsia="Tahoma" w:hAnsi="Tahoma" w:cs="Tahoma"/>
          <w:color w:val="4F81BD"/>
          <w:sz w:val="16"/>
          <w:szCs w:val="16"/>
          <w:lang w:val="pl-PL"/>
        </w:rPr>
        <w:t xml:space="preserve"> Polska </w:t>
      </w:r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t xml:space="preserve">jest częścią </w:t>
      </w:r>
      <w:proofErr w:type="spellStart"/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t>Randstad</w:t>
      </w:r>
      <w:proofErr w:type="spellEnd"/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t xml:space="preserve"> N.V. – najbardziej wyspecjalizowanej firmy na świecie działającej na rzecz talentów, która dba o wyrównywanie szans. Działając w ramach czterech specjalizacji – </w:t>
      </w:r>
      <w:proofErr w:type="spellStart"/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t>Operational</w:t>
      </w:r>
      <w:proofErr w:type="spellEnd"/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t>, Professional, Digital i Enterprise – zapewniamy firmom wykwalifikowane, zróżnicowane i elastyczne zespoły, które wspierają ich w osiąganiu biznesowych sukcesów w świecie deficytu talentów. Poszukujących zatrudnienia wspieramy w zdobywaniu ważnych dla nich ról zawodowych, rozwoju właściwych kompetencji, odnajdywaniu celu i poczucia przynależności w miejscu pracy. Jesteśmy zaangażowani w budowanie lepszej i bardziej zrównoważonej przyszłości dla nas wszystkich.</w:t>
      </w:r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br/>
      </w:r>
    </w:p>
    <w:p w14:paraId="1537810F" w14:textId="7D54D0A8" w:rsidR="00F41FAD" w:rsidRPr="00010C3C" w:rsidRDefault="00F41FAD" w:rsidP="00C60E86">
      <w:pPr>
        <w:spacing w:line="276" w:lineRule="auto"/>
        <w:rPr>
          <w:rStyle w:val="Brak"/>
          <w:rFonts w:ascii="Tahoma" w:hAnsi="Tahoma" w:cs="Tahoma"/>
          <w:color w:val="4F81BD"/>
          <w:kern w:val="16"/>
          <w:u w:color="4F81BD"/>
          <w:lang w:val="pl-PL"/>
        </w:rPr>
      </w:pPr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t xml:space="preserve">W </w:t>
      </w:r>
      <w:proofErr w:type="spellStart"/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t>Randstad</w:t>
      </w:r>
      <w:proofErr w:type="spellEnd"/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t xml:space="preserve"> działamy globalnie – na 39 rynkach świata, ale także lokalnie, wspierając talenty i klientów w blisko 100 biurach w Polsce.</w:t>
      </w:r>
    </w:p>
    <w:p w14:paraId="59FB4DCF" w14:textId="77777777" w:rsidR="00EC6114" w:rsidRPr="00010C3C" w:rsidRDefault="00EC6114" w:rsidP="00C60E86">
      <w:pPr>
        <w:pStyle w:val="HeaderAddress"/>
        <w:spacing w:line="276" w:lineRule="auto"/>
        <w:rPr>
          <w:rStyle w:val="Brak"/>
          <w:kern w:val="16"/>
          <w:lang w:val="pl-PL"/>
        </w:rPr>
      </w:pPr>
    </w:p>
    <w:p w14:paraId="18E4E886" w14:textId="77777777" w:rsidR="00EC6114" w:rsidRPr="00010C3C" w:rsidRDefault="00EC6114" w:rsidP="00C60E86">
      <w:pPr>
        <w:pStyle w:val="HeaderAddress"/>
        <w:spacing w:line="276" w:lineRule="auto"/>
        <w:rPr>
          <w:lang w:val="pl-PL"/>
        </w:rPr>
      </w:pPr>
      <w:r w:rsidRPr="00010C3C">
        <w:rPr>
          <w:rStyle w:val="Brak"/>
          <w:kern w:val="16"/>
          <w:lang w:val="pl-PL"/>
        </w:rPr>
        <w:t xml:space="preserve">Więcej informacji o firmie: </w:t>
      </w:r>
      <w:hyperlink r:id="rId11" w:history="1">
        <w:r w:rsidRPr="00010C3C">
          <w:rPr>
            <w:rStyle w:val="Hyperlink1"/>
            <w:lang w:val="pl-PL"/>
          </w:rPr>
          <w:t>www.randstad.pl</w:t>
        </w:r>
      </w:hyperlink>
    </w:p>
    <w:p w14:paraId="1F43DC4D" w14:textId="23F1AA21" w:rsidR="005F07BC" w:rsidRPr="00010C3C" w:rsidRDefault="005F07BC" w:rsidP="00204078">
      <w:pPr>
        <w:pStyle w:val="HeaderAddress"/>
        <w:spacing w:line="276" w:lineRule="auto"/>
        <w:jc w:val="both"/>
        <w:rPr>
          <w:lang w:val="pl-PL"/>
        </w:rPr>
      </w:pPr>
    </w:p>
    <w:sectPr w:rsidR="005F07BC" w:rsidRPr="00010C3C" w:rsidSect="0035569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426" w:right="991" w:bottom="1276" w:left="2552" w:header="709" w:footer="64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18F6A" w14:textId="77777777" w:rsidR="0066467A" w:rsidRDefault="0066467A">
      <w:r>
        <w:separator/>
      </w:r>
    </w:p>
  </w:endnote>
  <w:endnote w:type="continuationSeparator" w:id="0">
    <w:p w14:paraId="222646E7" w14:textId="77777777" w:rsidR="0066467A" w:rsidRDefault="0066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 Bold">
    <w:altName w:val="Tahom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80841" w14:textId="77777777" w:rsidR="00976D85" w:rsidRDefault="00976D85">
    <w:pPr>
      <w:pStyle w:val="Stopka1"/>
      <w:tabs>
        <w:tab w:val="clear" w:pos="9072"/>
        <w:tab w:val="right" w:pos="8337"/>
      </w:tabs>
      <w:jc w:val="right"/>
    </w:pPr>
    <w:r>
      <w:rPr>
        <w:rStyle w:val="BrakB"/>
      </w:rPr>
      <w:t xml:space="preserve">Strona </w:t>
    </w:r>
    <w:r>
      <w:rPr>
        <w:rFonts w:ascii="Tahoma Bold" w:eastAsia="Tahoma Bold" w:hAnsi="Tahoma Bold" w:cs="Tahoma Bold"/>
      </w:rPr>
      <w:fldChar w:fldCharType="begin"/>
    </w:r>
    <w:r>
      <w:rPr>
        <w:rFonts w:ascii="Tahoma Bold" w:eastAsia="Tahoma Bold" w:hAnsi="Tahoma Bold" w:cs="Tahoma Bold"/>
      </w:rPr>
      <w:instrText xml:space="preserve"> PAGE </w:instrText>
    </w:r>
    <w:r>
      <w:rPr>
        <w:rFonts w:ascii="Tahoma Bold" w:eastAsia="Tahoma Bold" w:hAnsi="Tahoma Bold" w:cs="Tahoma Bold"/>
      </w:rPr>
      <w:fldChar w:fldCharType="separate"/>
    </w:r>
    <w:r w:rsidR="00CD7F3F">
      <w:rPr>
        <w:rFonts w:ascii="Tahoma Bold" w:eastAsia="Tahoma Bold" w:hAnsi="Tahoma Bold" w:cs="Tahoma Bold"/>
        <w:noProof/>
      </w:rPr>
      <w:t>2</w:t>
    </w:r>
    <w:r>
      <w:rPr>
        <w:rFonts w:ascii="Tahoma Bold" w:eastAsia="Tahoma Bold" w:hAnsi="Tahoma Bold" w:cs="Tahoma Bold"/>
      </w:rPr>
      <w:fldChar w:fldCharType="end"/>
    </w:r>
    <w:r>
      <w:rPr>
        <w:rStyle w:val="BrakB"/>
      </w:rPr>
      <w:t xml:space="preserve"> z </w:t>
    </w:r>
    <w:r>
      <w:rPr>
        <w:rFonts w:ascii="Tahoma Bold" w:eastAsia="Tahoma Bold" w:hAnsi="Tahoma Bold" w:cs="Tahoma Bold"/>
      </w:rPr>
      <w:fldChar w:fldCharType="begin"/>
    </w:r>
    <w:r>
      <w:rPr>
        <w:rFonts w:ascii="Tahoma Bold" w:eastAsia="Tahoma Bold" w:hAnsi="Tahoma Bold" w:cs="Tahoma Bold"/>
      </w:rPr>
      <w:instrText xml:space="preserve"> NUMPAGES </w:instrText>
    </w:r>
    <w:r>
      <w:rPr>
        <w:rFonts w:ascii="Tahoma Bold" w:eastAsia="Tahoma Bold" w:hAnsi="Tahoma Bold" w:cs="Tahoma Bold"/>
      </w:rPr>
      <w:fldChar w:fldCharType="separate"/>
    </w:r>
    <w:r w:rsidR="00CD7F3F">
      <w:rPr>
        <w:rFonts w:ascii="Tahoma Bold" w:eastAsia="Tahoma Bold" w:hAnsi="Tahoma Bold" w:cs="Tahoma Bold"/>
        <w:noProof/>
      </w:rPr>
      <w:t>5</w:t>
    </w:r>
    <w:r>
      <w:rPr>
        <w:rFonts w:ascii="Tahoma Bold" w:eastAsia="Tahoma Bold" w:hAnsi="Tahoma Bold" w:cs="Tahoma Bold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71609" w14:textId="77777777" w:rsidR="00976D85" w:rsidRDefault="00976D85">
    <w:pPr>
      <w:pStyle w:val="Stopka1"/>
      <w:tabs>
        <w:tab w:val="clear" w:pos="9072"/>
        <w:tab w:val="right" w:pos="8337"/>
      </w:tabs>
      <w:jc w:val="right"/>
    </w:pPr>
    <w:r>
      <w:rPr>
        <w:rStyle w:val="BrakB"/>
      </w:rPr>
      <w:t xml:space="preserve">Strona </w:t>
    </w:r>
    <w:r>
      <w:rPr>
        <w:rFonts w:ascii="Tahoma Bold" w:eastAsia="Tahoma Bold" w:hAnsi="Tahoma Bold" w:cs="Tahoma Bold"/>
      </w:rPr>
      <w:fldChar w:fldCharType="begin"/>
    </w:r>
    <w:r>
      <w:rPr>
        <w:rFonts w:ascii="Tahoma Bold" w:eastAsia="Tahoma Bold" w:hAnsi="Tahoma Bold" w:cs="Tahoma Bold"/>
      </w:rPr>
      <w:instrText xml:space="preserve"> PAGE </w:instrText>
    </w:r>
    <w:r>
      <w:rPr>
        <w:rFonts w:ascii="Tahoma Bold" w:eastAsia="Tahoma Bold" w:hAnsi="Tahoma Bold" w:cs="Tahoma Bold"/>
      </w:rPr>
      <w:fldChar w:fldCharType="separate"/>
    </w:r>
    <w:r w:rsidR="00CD7F3F">
      <w:rPr>
        <w:rFonts w:ascii="Tahoma Bold" w:eastAsia="Tahoma Bold" w:hAnsi="Tahoma Bold" w:cs="Tahoma Bold"/>
        <w:noProof/>
      </w:rPr>
      <w:t>1</w:t>
    </w:r>
    <w:r>
      <w:rPr>
        <w:rFonts w:ascii="Tahoma Bold" w:eastAsia="Tahoma Bold" w:hAnsi="Tahoma Bold" w:cs="Tahoma Bold"/>
      </w:rPr>
      <w:fldChar w:fldCharType="end"/>
    </w:r>
    <w:r>
      <w:rPr>
        <w:rStyle w:val="BrakB"/>
      </w:rPr>
      <w:t xml:space="preserve"> z </w:t>
    </w:r>
    <w:r>
      <w:rPr>
        <w:rFonts w:ascii="Tahoma Bold" w:eastAsia="Tahoma Bold" w:hAnsi="Tahoma Bold" w:cs="Tahoma Bold"/>
      </w:rPr>
      <w:fldChar w:fldCharType="begin"/>
    </w:r>
    <w:r>
      <w:rPr>
        <w:rFonts w:ascii="Tahoma Bold" w:eastAsia="Tahoma Bold" w:hAnsi="Tahoma Bold" w:cs="Tahoma Bold"/>
      </w:rPr>
      <w:instrText xml:space="preserve"> NUMPAGES </w:instrText>
    </w:r>
    <w:r>
      <w:rPr>
        <w:rFonts w:ascii="Tahoma Bold" w:eastAsia="Tahoma Bold" w:hAnsi="Tahoma Bold" w:cs="Tahoma Bold"/>
      </w:rPr>
      <w:fldChar w:fldCharType="separate"/>
    </w:r>
    <w:r w:rsidR="00CD7F3F">
      <w:rPr>
        <w:rFonts w:ascii="Tahoma Bold" w:eastAsia="Tahoma Bold" w:hAnsi="Tahoma Bold" w:cs="Tahoma Bold"/>
        <w:noProof/>
      </w:rPr>
      <w:t>5</w:t>
    </w:r>
    <w:r>
      <w:rPr>
        <w:rFonts w:ascii="Tahoma Bold" w:eastAsia="Tahoma Bold" w:hAnsi="Tahoma Bold" w:cs="Tahoma Bold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6BEFA" w14:textId="77777777" w:rsidR="0066467A" w:rsidRDefault="0066467A">
      <w:r>
        <w:separator/>
      </w:r>
    </w:p>
  </w:footnote>
  <w:footnote w:type="continuationSeparator" w:id="0">
    <w:p w14:paraId="7659CBFE" w14:textId="77777777" w:rsidR="0066467A" w:rsidRDefault="0066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DDB92" w14:textId="77777777" w:rsidR="00976D85" w:rsidRDefault="00976D85">
    <w:pPr>
      <w:pStyle w:val="Nagwekistopka"/>
      <w:tabs>
        <w:tab w:val="clear" w:pos="9020"/>
        <w:tab w:val="right" w:pos="8337"/>
      </w:tabs>
    </w:pPr>
    <w:r>
      <w:rPr>
        <w:noProof/>
        <w:lang w:val="pl-PL" w:eastAsia="pl-PL"/>
      </w:rPr>
      <mc:AlternateContent>
        <mc:Choice Requires="wps">
          <w:drawing>
            <wp:anchor distT="152400" distB="152400" distL="152400" distR="152400" simplePos="0" relativeHeight="251656704" behindDoc="1" locked="0" layoutInCell="1" allowOverlap="1" wp14:anchorId="402A777A" wp14:editId="383647A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 w14:anchorId="0DD151D1"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type="solid" color="#FFFFFF" opacity="100.0%"/>
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AF7E5" w14:textId="77777777" w:rsidR="00976D85" w:rsidRDefault="00976D85">
    <w:pPr>
      <w:pStyle w:val="Nagwek1"/>
      <w:tabs>
        <w:tab w:val="clear" w:pos="9072"/>
        <w:tab w:val="right" w:pos="8337"/>
      </w:tabs>
    </w:pPr>
    <w:r>
      <w:rPr>
        <w:noProof/>
        <w:lang w:val="pl-PL" w:eastAsia="pl-PL"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1567C4B0" wp14:editId="05D8673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6500" cy="10693400"/>
              <wp:effectExtent l="0" t="0" r="635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pic="http://schemas.openxmlformats.org/drawingml/2006/picture" xmlns:a="http://schemas.openxmlformats.org/drawingml/2006/main">
          <w:pict w14:anchorId="70C329C9">
            <v:roundrect id="officeArt object" style="position:absolute;margin-left:543.8pt;margin-top:0;width:595pt;height:842pt;z-index:-251658752;visibility:visible;mso-wrap-style:square;mso-wrap-distance-left:12pt;mso-wrap-distance-top:12pt;mso-wrap-distance-right:12pt;mso-wrap-distance-bottom:12pt;mso-position-horizontal:right;mso-position-horizontal-relative:page;mso-position-vertical:top;mso-position-vertical-relative:page;v-text-anchor:top" o:spid="_x0000_s1026" stroked="f" strokeweight="1pt" arcsize="0" w14:anchorId="116448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">
              <v:stroke miterlimit="4" joinstyle="miter"/>
              <w10:wrap anchorx="page" anchory="page"/>
            </v:roundrect>
          </w:pict>
        </mc:Fallback>
      </mc:AlternateContent>
    </w:r>
    <w:r>
      <w:rPr>
        <w:noProof/>
        <w:lang w:val="pl-PL" w:eastAsia="pl-PL"/>
      </w:rPr>
      <w:drawing>
        <wp:anchor distT="152400" distB="152400" distL="152400" distR="152400" simplePos="0" relativeHeight="251658752" behindDoc="1" locked="0" layoutInCell="1" allowOverlap="1" wp14:anchorId="6A422B34" wp14:editId="07806946">
          <wp:simplePos x="0" y="0"/>
          <wp:positionH relativeFrom="page">
            <wp:posOffset>4511675</wp:posOffset>
          </wp:positionH>
          <wp:positionV relativeFrom="page">
            <wp:posOffset>383540</wp:posOffset>
          </wp:positionV>
          <wp:extent cx="2781300" cy="695325"/>
          <wp:effectExtent l="0" t="0" r="0" b="0"/>
          <wp:wrapNone/>
          <wp:docPr id="9" name="officeArt object" descr="Randstad logo_main_lar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Randstad logo_main_large.png" descr="Randstad logo_main_lar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1300" cy="6953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7BC"/>
    <w:rsid w:val="00003FE1"/>
    <w:rsid w:val="00010C3C"/>
    <w:rsid w:val="000134D6"/>
    <w:rsid w:val="00022875"/>
    <w:rsid w:val="00025C96"/>
    <w:rsid w:val="000268DF"/>
    <w:rsid w:val="00031078"/>
    <w:rsid w:val="00043630"/>
    <w:rsid w:val="00080E4A"/>
    <w:rsid w:val="000A0366"/>
    <w:rsid w:val="000C51CB"/>
    <w:rsid w:val="000D2386"/>
    <w:rsid w:val="00121A37"/>
    <w:rsid w:val="001304D7"/>
    <w:rsid w:val="0013077C"/>
    <w:rsid w:val="00130B47"/>
    <w:rsid w:val="0013373E"/>
    <w:rsid w:val="00142FAE"/>
    <w:rsid w:val="00146816"/>
    <w:rsid w:val="00147CD0"/>
    <w:rsid w:val="0016511E"/>
    <w:rsid w:val="001659BF"/>
    <w:rsid w:val="00175342"/>
    <w:rsid w:val="00177702"/>
    <w:rsid w:val="00177D80"/>
    <w:rsid w:val="00180B5F"/>
    <w:rsid w:val="001846AC"/>
    <w:rsid w:val="00186E9C"/>
    <w:rsid w:val="001A5D37"/>
    <w:rsid w:val="001A7186"/>
    <w:rsid w:val="001C36C1"/>
    <w:rsid w:val="001D0594"/>
    <w:rsid w:val="001D64D3"/>
    <w:rsid w:val="001E4587"/>
    <w:rsid w:val="001E4F6E"/>
    <w:rsid w:val="001F04D6"/>
    <w:rsid w:val="001F35B2"/>
    <w:rsid w:val="00204078"/>
    <w:rsid w:val="0021104B"/>
    <w:rsid w:val="00214F06"/>
    <w:rsid w:val="00215D40"/>
    <w:rsid w:val="00224D71"/>
    <w:rsid w:val="00226FCF"/>
    <w:rsid w:val="002331E8"/>
    <w:rsid w:val="00234766"/>
    <w:rsid w:val="00240296"/>
    <w:rsid w:val="00246395"/>
    <w:rsid w:val="0025451F"/>
    <w:rsid w:val="00264333"/>
    <w:rsid w:val="00265F1C"/>
    <w:rsid w:val="002A4EA1"/>
    <w:rsid w:val="002A56EE"/>
    <w:rsid w:val="002B0F9D"/>
    <w:rsid w:val="002B483D"/>
    <w:rsid w:val="002C0215"/>
    <w:rsid w:val="002C6514"/>
    <w:rsid w:val="002C6A66"/>
    <w:rsid w:val="002D240D"/>
    <w:rsid w:val="002D5430"/>
    <w:rsid w:val="002D7F8F"/>
    <w:rsid w:val="002E46DB"/>
    <w:rsid w:val="002F43FF"/>
    <w:rsid w:val="00303853"/>
    <w:rsid w:val="003070A3"/>
    <w:rsid w:val="00310AFE"/>
    <w:rsid w:val="00317ECB"/>
    <w:rsid w:val="003242A2"/>
    <w:rsid w:val="003337FE"/>
    <w:rsid w:val="003510DC"/>
    <w:rsid w:val="00351125"/>
    <w:rsid w:val="00353299"/>
    <w:rsid w:val="0035569F"/>
    <w:rsid w:val="0035635D"/>
    <w:rsid w:val="00360301"/>
    <w:rsid w:val="00365DE3"/>
    <w:rsid w:val="00370906"/>
    <w:rsid w:val="003742E1"/>
    <w:rsid w:val="00375D6F"/>
    <w:rsid w:val="0037644F"/>
    <w:rsid w:val="00381B08"/>
    <w:rsid w:val="003840BF"/>
    <w:rsid w:val="0038454C"/>
    <w:rsid w:val="003A7E5E"/>
    <w:rsid w:val="003B0A28"/>
    <w:rsid w:val="003B6924"/>
    <w:rsid w:val="003C0914"/>
    <w:rsid w:val="003D0BB8"/>
    <w:rsid w:val="003D0C5C"/>
    <w:rsid w:val="003D3AF4"/>
    <w:rsid w:val="003F0255"/>
    <w:rsid w:val="003F5152"/>
    <w:rsid w:val="003F6134"/>
    <w:rsid w:val="00404678"/>
    <w:rsid w:val="004158BC"/>
    <w:rsid w:val="00416F9A"/>
    <w:rsid w:val="0042001B"/>
    <w:rsid w:val="0043115F"/>
    <w:rsid w:val="00432660"/>
    <w:rsid w:val="00433D10"/>
    <w:rsid w:val="0045606A"/>
    <w:rsid w:val="0046172B"/>
    <w:rsid w:val="00463852"/>
    <w:rsid w:val="004748DE"/>
    <w:rsid w:val="0048147D"/>
    <w:rsid w:val="00487C9A"/>
    <w:rsid w:val="004B544D"/>
    <w:rsid w:val="004D1AAA"/>
    <w:rsid w:val="004D794C"/>
    <w:rsid w:val="004E24EE"/>
    <w:rsid w:val="004E32F0"/>
    <w:rsid w:val="004F3B0C"/>
    <w:rsid w:val="004F6E10"/>
    <w:rsid w:val="005019D4"/>
    <w:rsid w:val="005062BC"/>
    <w:rsid w:val="00514063"/>
    <w:rsid w:val="00520BBB"/>
    <w:rsid w:val="005276CD"/>
    <w:rsid w:val="00547E5E"/>
    <w:rsid w:val="00577735"/>
    <w:rsid w:val="0058205A"/>
    <w:rsid w:val="00584612"/>
    <w:rsid w:val="005859C5"/>
    <w:rsid w:val="00597CEE"/>
    <w:rsid w:val="005A7FE7"/>
    <w:rsid w:val="005B1C23"/>
    <w:rsid w:val="005C06ED"/>
    <w:rsid w:val="005C0B78"/>
    <w:rsid w:val="005D54B6"/>
    <w:rsid w:val="005E6669"/>
    <w:rsid w:val="005E7F1A"/>
    <w:rsid w:val="005F07BC"/>
    <w:rsid w:val="005F3239"/>
    <w:rsid w:val="005F39B8"/>
    <w:rsid w:val="005F5D54"/>
    <w:rsid w:val="00605543"/>
    <w:rsid w:val="00610B7D"/>
    <w:rsid w:val="0061581B"/>
    <w:rsid w:val="00621FAD"/>
    <w:rsid w:val="006241DF"/>
    <w:rsid w:val="00631479"/>
    <w:rsid w:val="006320D8"/>
    <w:rsid w:val="0063370F"/>
    <w:rsid w:val="006579BA"/>
    <w:rsid w:val="0066467A"/>
    <w:rsid w:val="00675B90"/>
    <w:rsid w:val="006802EC"/>
    <w:rsid w:val="00693603"/>
    <w:rsid w:val="00697EEB"/>
    <w:rsid w:val="006B6A7C"/>
    <w:rsid w:val="006D3618"/>
    <w:rsid w:val="006F4B4E"/>
    <w:rsid w:val="006F590D"/>
    <w:rsid w:val="00700FEB"/>
    <w:rsid w:val="00707155"/>
    <w:rsid w:val="00707825"/>
    <w:rsid w:val="00721CCD"/>
    <w:rsid w:val="00723A36"/>
    <w:rsid w:val="00723D42"/>
    <w:rsid w:val="00736DA3"/>
    <w:rsid w:val="007542C0"/>
    <w:rsid w:val="00763AC6"/>
    <w:rsid w:val="00764CC4"/>
    <w:rsid w:val="0076701C"/>
    <w:rsid w:val="0077048E"/>
    <w:rsid w:val="0077209F"/>
    <w:rsid w:val="0077234A"/>
    <w:rsid w:val="00773998"/>
    <w:rsid w:val="0078311F"/>
    <w:rsid w:val="0078545A"/>
    <w:rsid w:val="00790E02"/>
    <w:rsid w:val="00797C9E"/>
    <w:rsid w:val="007A2C0F"/>
    <w:rsid w:val="007A6606"/>
    <w:rsid w:val="007B0168"/>
    <w:rsid w:val="007B11D0"/>
    <w:rsid w:val="007B5969"/>
    <w:rsid w:val="007B636C"/>
    <w:rsid w:val="007C5CE4"/>
    <w:rsid w:val="007C6562"/>
    <w:rsid w:val="007E2DBF"/>
    <w:rsid w:val="007E321F"/>
    <w:rsid w:val="007F0169"/>
    <w:rsid w:val="007F0276"/>
    <w:rsid w:val="00803A88"/>
    <w:rsid w:val="008045F5"/>
    <w:rsid w:val="0081086C"/>
    <w:rsid w:val="00813DE5"/>
    <w:rsid w:val="008236A9"/>
    <w:rsid w:val="00824D78"/>
    <w:rsid w:val="00836116"/>
    <w:rsid w:val="00853636"/>
    <w:rsid w:val="00860003"/>
    <w:rsid w:val="00864817"/>
    <w:rsid w:val="008660FC"/>
    <w:rsid w:val="00870BD0"/>
    <w:rsid w:val="008A192E"/>
    <w:rsid w:val="008A2A9C"/>
    <w:rsid w:val="008A2B8B"/>
    <w:rsid w:val="008C7897"/>
    <w:rsid w:val="008D0974"/>
    <w:rsid w:val="008E2C56"/>
    <w:rsid w:val="008F1184"/>
    <w:rsid w:val="008F46B0"/>
    <w:rsid w:val="008F61BE"/>
    <w:rsid w:val="009219AA"/>
    <w:rsid w:val="00922553"/>
    <w:rsid w:val="00925B4D"/>
    <w:rsid w:val="009340B6"/>
    <w:rsid w:val="00935D82"/>
    <w:rsid w:val="0093775D"/>
    <w:rsid w:val="009446B1"/>
    <w:rsid w:val="00952F8E"/>
    <w:rsid w:val="00962484"/>
    <w:rsid w:val="00975A4A"/>
    <w:rsid w:val="00976D85"/>
    <w:rsid w:val="00983185"/>
    <w:rsid w:val="0099683F"/>
    <w:rsid w:val="009B0B08"/>
    <w:rsid w:val="009B33CD"/>
    <w:rsid w:val="009C4F7D"/>
    <w:rsid w:val="009C6A6E"/>
    <w:rsid w:val="009F4350"/>
    <w:rsid w:val="009F5AEE"/>
    <w:rsid w:val="00A155BA"/>
    <w:rsid w:val="00A16205"/>
    <w:rsid w:val="00A21348"/>
    <w:rsid w:val="00A2303D"/>
    <w:rsid w:val="00A2577A"/>
    <w:rsid w:val="00A35425"/>
    <w:rsid w:val="00A633EF"/>
    <w:rsid w:val="00A66A6F"/>
    <w:rsid w:val="00A87157"/>
    <w:rsid w:val="00A955C1"/>
    <w:rsid w:val="00A96764"/>
    <w:rsid w:val="00A96AAD"/>
    <w:rsid w:val="00A97AA3"/>
    <w:rsid w:val="00A97EF0"/>
    <w:rsid w:val="00AB05F3"/>
    <w:rsid w:val="00AB3B20"/>
    <w:rsid w:val="00AD0572"/>
    <w:rsid w:val="00AF4FBF"/>
    <w:rsid w:val="00AF5B08"/>
    <w:rsid w:val="00B0099F"/>
    <w:rsid w:val="00B00CE0"/>
    <w:rsid w:val="00B15410"/>
    <w:rsid w:val="00B37168"/>
    <w:rsid w:val="00B51A74"/>
    <w:rsid w:val="00B63B65"/>
    <w:rsid w:val="00B6615D"/>
    <w:rsid w:val="00B7417F"/>
    <w:rsid w:val="00B800AA"/>
    <w:rsid w:val="00B83123"/>
    <w:rsid w:val="00B84D73"/>
    <w:rsid w:val="00B95AAA"/>
    <w:rsid w:val="00BA0DA7"/>
    <w:rsid w:val="00BA7147"/>
    <w:rsid w:val="00BC4927"/>
    <w:rsid w:val="00BD4E30"/>
    <w:rsid w:val="00BF2FB8"/>
    <w:rsid w:val="00BF543E"/>
    <w:rsid w:val="00C05314"/>
    <w:rsid w:val="00C14045"/>
    <w:rsid w:val="00C26E31"/>
    <w:rsid w:val="00C27EAD"/>
    <w:rsid w:val="00C313B6"/>
    <w:rsid w:val="00C410C3"/>
    <w:rsid w:val="00C44FA1"/>
    <w:rsid w:val="00C46260"/>
    <w:rsid w:val="00C54DCB"/>
    <w:rsid w:val="00C60E86"/>
    <w:rsid w:val="00C665E3"/>
    <w:rsid w:val="00C73E88"/>
    <w:rsid w:val="00C75950"/>
    <w:rsid w:val="00C868C8"/>
    <w:rsid w:val="00C921DD"/>
    <w:rsid w:val="00C9419D"/>
    <w:rsid w:val="00CB0713"/>
    <w:rsid w:val="00CB5CE7"/>
    <w:rsid w:val="00CC5255"/>
    <w:rsid w:val="00CC6F38"/>
    <w:rsid w:val="00CD7F3F"/>
    <w:rsid w:val="00CE1AB4"/>
    <w:rsid w:val="00CE2471"/>
    <w:rsid w:val="00CF21DC"/>
    <w:rsid w:val="00CF4154"/>
    <w:rsid w:val="00CF4426"/>
    <w:rsid w:val="00D02AA5"/>
    <w:rsid w:val="00D277F5"/>
    <w:rsid w:val="00D42F73"/>
    <w:rsid w:val="00D46108"/>
    <w:rsid w:val="00D47C99"/>
    <w:rsid w:val="00D5076F"/>
    <w:rsid w:val="00D50ABE"/>
    <w:rsid w:val="00D51025"/>
    <w:rsid w:val="00D67E4E"/>
    <w:rsid w:val="00D72017"/>
    <w:rsid w:val="00D81560"/>
    <w:rsid w:val="00D83C2B"/>
    <w:rsid w:val="00D85F1F"/>
    <w:rsid w:val="00D927FA"/>
    <w:rsid w:val="00D9735B"/>
    <w:rsid w:val="00DB463B"/>
    <w:rsid w:val="00DB7733"/>
    <w:rsid w:val="00DB7BD8"/>
    <w:rsid w:val="00DD3BDD"/>
    <w:rsid w:val="00DD5993"/>
    <w:rsid w:val="00DD5B6D"/>
    <w:rsid w:val="00DE2530"/>
    <w:rsid w:val="00DE3A66"/>
    <w:rsid w:val="00DF38BC"/>
    <w:rsid w:val="00E01A19"/>
    <w:rsid w:val="00E151AE"/>
    <w:rsid w:val="00E15FAC"/>
    <w:rsid w:val="00E27618"/>
    <w:rsid w:val="00E33574"/>
    <w:rsid w:val="00E50324"/>
    <w:rsid w:val="00E5504D"/>
    <w:rsid w:val="00E677E3"/>
    <w:rsid w:val="00E71E6E"/>
    <w:rsid w:val="00E7548A"/>
    <w:rsid w:val="00E76F55"/>
    <w:rsid w:val="00E837A2"/>
    <w:rsid w:val="00E870CF"/>
    <w:rsid w:val="00E90F83"/>
    <w:rsid w:val="00E94A77"/>
    <w:rsid w:val="00E9531B"/>
    <w:rsid w:val="00E977BB"/>
    <w:rsid w:val="00EAB523"/>
    <w:rsid w:val="00EB1C51"/>
    <w:rsid w:val="00EB79D5"/>
    <w:rsid w:val="00EC6114"/>
    <w:rsid w:val="00EC6A2F"/>
    <w:rsid w:val="00ED5A4B"/>
    <w:rsid w:val="00EE68C6"/>
    <w:rsid w:val="00EE7EFD"/>
    <w:rsid w:val="00EF0263"/>
    <w:rsid w:val="00EF149E"/>
    <w:rsid w:val="00EF2FFC"/>
    <w:rsid w:val="00F0219E"/>
    <w:rsid w:val="00F12DF5"/>
    <w:rsid w:val="00F17AFA"/>
    <w:rsid w:val="00F2106B"/>
    <w:rsid w:val="00F35750"/>
    <w:rsid w:val="00F37268"/>
    <w:rsid w:val="00F40DA2"/>
    <w:rsid w:val="00F41FAD"/>
    <w:rsid w:val="00F50789"/>
    <w:rsid w:val="00F53A39"/>
    <w:rsid w:val="00F54AE7"/>
    <w:rsid w:val="00F56CC3"/>
    <w:rsid w:val="00F65F0E"/>
    <w:rsid w:val="00F73F67"/>
    <w:rsid w:val="00F77432"/>
    <w:rsid w:val="00F834A0"/>
    <w:rsid w:val="00F90D20"/>
    <w:rsid w:val="00F92048"/>
    <w:rsid w:val="00FA0B1E"/>
    <w:rsid w:val="00FA776B"/>
    <w:rsid w:val="00FB0AF1"/>
    <w:rsid w:val="00FB1457"/>
    <w:rsid w:val="00FB33E2"/>
    <w:rsid w:val="00FB3CE1"/>
    <w:rsid w:val="00FB412C"/>
    <w:rsid w:val="00FC6530"/>
    <w:rsid w:val="00FF0272"/>
    <w:rsid w:val="01206AC2"/>
    <w:rsid w:val="01F0C202"/>
    <w:rsid w:val="025A8865"/>
    <w:rsid w:val="02A96B26"/>
    <w:rsid w:val="02BAFD1D"/>
    <w:rsid w:val="02CDF4C6"/>
    <w:rsid w:val="02E8C71A"/>
    <w:rsid w:val="02F55C5F"/>
    <w:rsid w:val="03A64E02"/>
    <w:rsid w:val="03E71DEF"/>
    <w:rsid w:val="046E0064"/>
    <w:rsid w:val="04FEF5E3"/>
    <w:rsid w:val="054D0720"/>
    <w:rsid w:val="0619BD81"/>
    <w:rsid w:val="067EB264"/>
    <w:rsid w:val="07AF878A"/>
    <w:rsid w:val="07DAE3AC"/>
    <w:rsid w:val="0884AD26"/>
    <w:rsid w:val="0A0A0D01"/>
    <w:rsid w:val="0B248BCE"/>
    <w:rsid w:val="0B9609BB"/>
    <w:rsid w:val="0BBD9EE3"/>
    <w:rsid w:val="0BE4F05E"/>
    <w:rsid w:val="0C61F999"/>
    <w:rsid w:val="0D4D3A59"/>
    <w:rsid w:val="0D56E588"/>
    <w:rsid w:val="0D665341"/>
    <w:rsid w:val="0E8821EB"/>
    <w:rsid w:val="0F3C6819"/>
    <w:rsid w:val="0FA5CD3F"/>
    <w:rsid w:val="0FC211FD"/>
    <w:rsid w:val="103337EE"/>
    <w:rsid w:val="10743081"/>
    <w:rsid w:val="10EC101B"/>
    <w:rsid w:val="113C93DD"/>
    <w:rsid w:val="116291FF"/>
    <w:rsid w:val="11AC14E9"/>
    <w:rsid w:val="11D9BDC2"/>
    <w:rsid w:val="121AC447"/>
    <w:rsid w:val="12956F0F"/>
    <w:rsid w:val="12D022B9"/>
    <w:rsid w:val="12D25031"/>
    <w:rsid w:val="137D72E1"/>
    <w:rsid w:val="13EBA531"/>
    <w:rsid w:val="14A3A04F"/>
    <w:rsid w:val="15729CC8"/>
    <w:rsid w:val="1579338D"/>
    <w:rsid w:val="15C4D46E"/>
    <w:rsid w:val="161F87A4"/>
    <w:rsid w:val="16432701"/>
    <w:rsid w:val="17827B49"/>
    <w:rsid w:val="179A0683"/>
    <w:rsid w:val="180E598F"/>
    <w:rsid w:val="18FBB460"/>
    <w:rsid w:val="1942BF63"/>
    <w:rsid w:val="194F36A3"/>
    <w:rsid w:val="19CCFA9F"/>
    <w:rsid w:val="19F07958"/>
    <w:rsid w:val="1A35CD7A"/>
    <w:rsid w:val="1A701BC4"/>
    <w:rsid w:val="1A93F9FA"/>
    <w:rsid w:val="1ABEF259"/>
    <w:rsid w:val="1AC1E687"/>
    <w:rsid w:val="1AC98BE6"/>
    <w:rsid w:val="1B96B4A1"/>
    <w:rsid w:val="1BB0F7D0"/>
    <w:rsid w:val="1C2ACF3F"/>
    <w:rsid w:val="1C3EFD22"/>
    <w:rsid w:val="1C693BD9"/>
    <w:rsid w:val="1CE065D4"/>
    <w:rsid w:val="1CEAC326"/>
    <w:rsid w:val="1D6426CF"/>
    <w:rsid w:val="1D80C1AF"/>
    <w:rsid w:val="1DDD846F"/>
    <w:rsid w:val="1EA7BD45"/>
    <w:rsid w:val="1EF8F7D5"/>
    <w:rsid w:val="1FDFCCB0"/>
    <w:rsid w:val="204E430F"/>
    <w:rsid w:val="208732DE"/>
    <w:rsid w:val="2151345B"/>
    <w:rsid w:val="2257B98D"/>
    <w:rsid w:val="22B0E497"/>
    <w:rsid w:val="22D7506F"/>
    <w:rsid w:val="230FC05C"/>
    <w:rsid w:val="232530DC"/>
    <w:rsid w:val="2337EDB5"/>
    <w:rsid w:val="234B3623"/>
    <w:rsid w:val="23744EE7"/>
    <w:rsid w:val="238D3490"/>
    <w:rsid w:val="23CD60FC"/>
    <w:rsid w:val="240050F9"/>
    <w:rsid w:val="24581EDB"/>
    <w:rsid w:val="257A754D"/>
    <w:rsid w:val="257FF7C8"/>
    <w:rsid w:val="277262C4"/>
    <w:rsid w:val="27DE4D39"/>
    <w:rsid w:val="28901A03"/>
    <w:rsid w:val="28B8C42E"/>
    <w:rsid w:val="29819BFA"/>
    <w:rsid w:val="29F61194"/>
    <w:rsid w:val="2A18C4D7"/>
    <w:rsid w:val="2A2FC801"/>
    <w:rsid w:val="2ADC08CD"/>
    <w:rsid w:val="2AEB1850"/>
    <w:rsid w:val="2B43C294"/>
    <w:rsid w:val="2C729ECB"/>
    <w:rsid w:val="2CD86E19"/>
    <w:rsid w:val="2D6AFF4E"/>
    <w:rsid w:val="2DA10A2D"/>
    <w:rsid w:val="2DA1B7D7"/>
    <w:rsid w:val="2DE2B6B0"/>
    <w:rsid w:val="2DF45A0B"/>
    <w:rsid w:val="2E987ADC"/>
    <w:rsid w:val="2EB95B30"/>
    <w:rsid w:val="2F12C87C"/>
    <w:rsid w:val="2F3B519C"/>
    <w:rsid w:val="2FC9A3C5"/>
    <w:rsid w:val="2FFCC78C"/>
    <w:rsid w:val="31659B8A"/>
    <w:rsid w:val="324E2A16"/>
    <w:rsid w:val="325DD561"/>
    <w:rsid w:val="32EC75E0"/>
    <w:rsid w:val="33257295"/>
    <w:rsid w:val="3342FC76"/>
    <w:rsid w:val="335C9A50"/>
    <w:rsid w:val="342D0954"/>
    <w:rsid w:val="343926C3"/>
    <w:rsid w:val="34417AE0"/>
    <w:rsid w:val="3447F93F"/>
    <w:rsid w:val="34EFF96D"/>
    <w:rsid w:val="35230594"/>
    <w:rsid w:val="353F2B1E"/>
    <w:rsid w:val="35B36848"/>
    <w:rsid w:val="35B643B0"/>
    <w:rsid w:val="360662AC"/>
    <w:rsid w:val="362BBE99"/>
    <w:rsid w:val="365EAEB7"/>
    <w:rsid w:val="380B8CC1"/>
    <w:rsid w:val="388DFC49"/>
    <w:rsid w:val="392A4449"/>
    <w:rsid w:val="39893164"/>
    <w:rsid w:val="399D98E3"/>
    <w:rsid w:val="39AB54B7"/>
    <w:rsid w:val="3ADD0400"/>
    <w:rsid w:val="3B896713"/>
    <w:rsid w:val="3BE9399E"/>
    <w:rsid w:val="3C766EFE"/>
    <w:rsid w:val="3CB9C453"/>
    <w:rsid w:val="3CF2BB0F"/>
    <w:rsid w:val="3D563C40"/>
    <w:rsid w:val="3D853499"/>
    <w:rsid w:val="3E0BDFBE"/>
    <w:rsid w:val="3EC1CAD1"/>
    <w:rsid w:val="3EF001F7"/>
    <w:rsid w:val="3FAC7B87"/>
    <w:rsid w:val="401E33CD"/>
    <w:rsid w:val="40D41484"/>
    <w:rsid w:val="41323F76"/>
    <w:rsid w:val="41E65E20"/>
    <w:rsid w:val="42481AAD"/>
    <w:rsid w:val="425B6191"/>
    <w:rsid w:val="428A68AD"/>
    <w:rsid w:val="42F019EF"/>
    <w:rsid w:val="436A0EEC"/>
    <w:rsid w:val="43A555B3"/>
    <w:rsid w:val="43C58FDF"/>
    <w:rsid w:val="443CF3D4"/>
    <w:rsid w:val="4441BD20"/>
    <w:rsid w:val="44583397"/>
    <w:rsid w:val="448128D4"/>
    <w:rsid w:val="44DB229D"/>
    <w:rsid w:val="456E06E4"/>
    <w:rsid w:val="45A72418"/>
    <w:rsid w:val="45DE1F88"/>
    <w:rsid w:val="4631B7C0"/>
    <w:rsid w:val="47884B62"/>
    <w:rsid w:val="47E81594"/>
    <w:rsid w:val="4862F0A5"/>
    <w:rsid w:val="48ED3A7F"/>
    <w:rsid w:val="499D7F50"/>
    <w:rsid w:val="4A233BDD"/>
    <w:rsid w:val="4AB47F88"/>
    <w:rsid w:val="4B491872"/>
    <w:rsid w:val="4B57BCDF"/>
    <w:rsid w:val="4B676E7F"/>
    <w:rsid w:val="4C3598C3"/>
    <w:rsid w:val="4CC62405"/>
    <w:rsid w:val="4D5FEFDD"/>
    <w:rsid w:val="4D9DA1B4"/>
    <w:rsid w:val="4DED7898"/>
    <w:rsid w:val="4DFB370A"/>
    <w:rsid w:val="4F6E692A"/>
    <w:rsid w:val="4F802C4F"/>
    <w:rsid w:val="4FBEB8C2"/>
    <w:rsid w:val="5042B694"/>
    <w:rsid w:val="50E7137D"/>
    <w:rsid w:val="5188117C"/>
    <w:rsid w:val="51FD5322"/>
    <w:rsid w:val="524EAAFF"/>
    <w:rsid w:val="5290F8B7"/>
    <w:rsid w:val="52AB4D55"/>
    <w:rsid w:val="52FCEA42"/>
    <w:rsid w:val="5301E406"/>
    <w:rsid w:val="531E2150"/>
    <w:rsid w:val="53962962"/>
    <w:rsid w:val="5532DB40"/>
    <w:rsid w:val="5532F44F"/>
    <w:rsid w:val="55641349"/>
    <w:rsid w:val="561E171F"/>
    <w:rsid w:val="564C5EB5"/>
    <w:rsid w:val="56CF2DD8"/>
    <w:rsid w:val="57D63E00"/>
    <w:rsid w:val="580F6E62"/>
    <w:rsid w:val="58518067"/>
    <w:rsid w:val="58576C91"/>
    <w:rsid w:val="58676C61"/>
    <w:rsid w:val="58F13DB5"/>
    <w:rsid w:val="59090D17"/>
    <w:rsid w:val="5967D9AB"/>
    <w:rsid w:val="59842A81"/>
    <w:rsid w:val="59EC1D8B"/>
    <w:rsid w:val="5A2AAE63"/>
    <w:rsid w:val="5A82869B"/>
    <w:rsid w:val="5AB38170"/>
    <w:rsid w:val="5AD72D05"/>
    <w:rsid w:val="5AF23FEA"/>
    <w:rsid w:val="5B236645"/>
    <w:rsid w:val="5B32F719"/>
    <w:rsid w:val="5B3F2A14"/>
    <w:rsid w:val="5B4EDB89"/>
    <w:rsid w:val="5B808CE6"/>
    <w:rsid w:val="5BB1C17D"/>
    <w:rsid w:val="5BFF2441"/>
    <w:rsid w:val="5C06E1FF"/>
    <w:rsid w:val="5CBF36A6"/>
    <w:rsid w:val="5D5BAE10"/>
    <w:rsid w:val="5E221D21"/>
    <w:rsid w:val="5E4A65D7"/>
    <w:rsid w:val="5E53F44B"/>
    <w:rsid w:val="5E64CEBB"/>
    <w:rsid w:val="5EFBB4D1"/>
    <w:rsid w:val="5F3D09D6"/>
    <w:rsid w:val="5F4F8F5F"/>
    <w:rsid w:val="5FCC884C"/>
    <w:rsid w:val="5FE93B20"/>
    <w:rsid w:val="603CCA76"/>
    <w:rsid w:val="608009F8"/>
    <w:rsid w:val="60D3F8DC"/>
    <w:rsid w:val="60EB64C8"/>
    <w:rsid w:val="611E38BE"/>
    <w:rsid w:val="61395125"/>
    <w:rsid w:val="6200E753"/>
    <w:rsid w:val="6204DB3A"/>
    <w:rsid w:val="626E3256"/>
    <w:rsid w:val="6271DE22"/>
    <w:rsid w:val="62F6D2AF"/>
    <w:rsid w:val="633FCCB5"/>
    <w:rsid w:val="63BC04CB"/>
    <w:rsid w:val="6424FFF1"/>
    <w:rsid w:val="644E2F04"/>
    <w:rsid w:val="64F49967"/>
    <w:rsid w:val="665262A4"/>
    <w:rsid w:val="66E02C33"/>
    <w:rsid w:val="67239A11"/>
    <w:rsid w:val="673D4B43"/>
    <w:rsid w:val="673E8004"/>
    <w:rsid w:val="676A7A54"/>
    <w:rsid w:val="68247189"/>
    <w:rsid w:val="68A241F4"/>
    <w:rsid w:val="68F48F4A"/>
    <w:rsid w:val="68F7D74F"/>
    <w:rsid w:val="6A29AD4C"/>
    <w:rsid w:val="6AB9387B"/>
    <w:rsid w:val="6B356D30"/>
    <w:rsid w:val="6BBEF7D2"/>
    <w:rsid w:val="6C076C0D"/>
    <w:rsid w:val="6C83CE28"/>
    <w:rsid w:val="6C90ACC0"/>
    <w:rsid w:val="6CCF6B5F"/>
    <w:rsid w:val="6CF793E7"/>
    <w:rsid w:val="6D694DE7"/>
    <w:rsid w:val="6DE304C7"/>
    <w:rsid w:val="6E2B4DC4"/>
    <w:rsid w:val="6E89F458"/>
    <w:rsid w:val="6EC36C15"/>
    <w:rsid w:val="6ED9DBB9"/>
    <w:rsid w:val="6EE19E9C"/>
    <w:rsid w:val="6EF5D40B"/>
    <w:rsid w:val="6F0C0297"/>
    <w:rsid w:val="6F0CB807"/>
    <w:rsid w:val="6F89D558"/>
    <w:rsid w:val="7033824D"/>
    <w:rsid w:val="70592F14"/>
    <w:rsid w:val="70CD13DC"/>
    <w:rsid w:val="7118A584"/>
    <w:rsid w:val="712E0475"/>
    <w:rsid w:val="71526B10"/>
    <w:rsid w:val="71B75B14"/>
    <w:rsid w:val="71EAFFFB"/>
    <w:rsid w:val="722FE126"/>
    <w:rsid w:val="73CB038D"/>
    <w:rsid w:val="73E74490"/>
    <w:rsid w:val="74BD79C9"/>
    <w:rsid w:val="74DF48E8"/>
    <w:rsid w:val="751DB54A"/>
    <w:rsid w:val="75BA0AC2"/>
    <w:rsid w:val="762EE8CC"/>
    <w:rsid w:val="762F54FB"/>
    <w:rsid w:val="763F2B84"/>
    <w:rsid w:val="77A31713"/>
    <w:rsid w:val="7896CDF1"/>
    <w:rsid w:val="7960B8BB"/>
    <w:rsid w:val="7B31BC0B"/>
    <w:rsid w:val="7C8FEF9F"/>
    <w:rsid w:val="7CB0E349"/>
    <w:rsid w:val="7D2636D8"/>
    <w:rsid w:val="7E5775F0"/>
    <w:rsid w:val="7F094F68"/>
    <w:rsid w:val="7F4B2518"/>
    <w:rsid w:val="7F64AEA2"/>
    <w:rsid w:val="7FA9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D04EB"/>
  <w15:docId w15:val="{3146D381-0AD4-9E4E-97D7-B9AE54A7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opka1">
    <w:name w:val="Stopka1"/>
    <w:pPr>
      <w:tabs>
        <w:tab w:val="center" w:pos="4536"/>
        <w:tab w:val="right" w:pos="9072"/>
      </w:tabs>
      <w:suppressAutoHyphens/>
      <w:spacing w:line="320" w:lineRule="atLeast"/>
    </w:pPr>
    <w:rPr>
      <w:rFonts w:ascii="Tahoma" w:hAnsi="Tahoma" w:cs="Arial Unicode MS"/>
      <w:color w:val="000000"/>
      <w:u w:color="000000"/>
      <w:lang w:val="it-IT"/>
    </w:rPr>
  </w:style>
  <w:style w:type="character" w:customStyle="1" w:styleId="BrakB">
    <w:name w:val="Brak B"/>
    <w:rPr>
      <w:lang w:val="it-IT"/>
    </w:rPr>
  </w:style>
  <w:style w:type="paragraph" w:customStyle="1" w:styleId="Nagwek1">
    <w:name w:val="Nagłówek1"/>
    <w:pPr>
      <w:tabs>
        <w:tab w:val="center" w:pos="4536"/>
        <w:tab w:val="right" w:pos="9072"/>
      </w:tabs>
      <w:suppressAutoHyphens/>
      <w:spacing w:line="320" w:lineRule="atLeast"/>
    </w:pPr>
    <w:rPr>
      <w:rFonts w:ascii="Tahoma" w:eastAsia="Tahoma" w:hAnsi="Tahoma" w:cs="Tahoma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">
    <w:name w:val="Treść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21">
    <w:name w:val="Nagłówek 21"/>
    <w:next w:val="Normalny1"/>
    <w:pPr>
      <w:keepNext/>
      <w:tabs>
        <w:tab w:val="left" w:pos="576"/>
      </w:tabs>
      <w:suppressAutoHyphens/>
      <w:spacing w:line="240" w:lineRule="exact"/>
      <w:ind w:left="576" w:hanging="576"/>
      <w:outlineLvl w:val="0"/>
    </w:pPr>
    <w:rPr>
      <w:rFonts w:ascii="Tahoma Bold" w:eastAsia="Tahoma Bold" w:hAnsi="Tahoma Bold" w:cs="Tahoma Bold"/>
      <w:color w:val="000000"/>
      <w:sz w:val="12"/>
      <w:szCs w:val="12"/>
      <w:u w:color="000000"/>
      <w:lang w:val="nl-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Normalny1">
    <w:name w:val="Normalny1"/>
    <w:pPr>
      <w:suppressAutoHyphens/>
      <w:spacing w:line="320" w:lineRule="atLeast"/>
    </w:pPr>
    <w:rPr>
      <w:rFonts w:ascii="Tahoma" w:eastAsia="Tahoma" w:hAnsi="Tahoma" w:cs="Tahoma"/>
      <w:color w:val="000000"/>
      <w:u w:color="000000"/>
    </w:rPr>
  </w:style>
  <w:style w:type="paragraph" w:customStyle="1" w:styleId="TreA">
    <w:name w:val="Treść A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Address">
    <w:name w:val="HeaderAddress"/>
    <w:pPr>
      <w:suppressAutoHyphens/>
    </w:pPr>
    <w:rPr>
      <w:rFonts w:ascii="Tahoma" w:eastAsia="Tahoma" w:hAnsi="Tahoma" w:cs="Tahoma"/>
      <w:color w:val="000000"/>
      <w:sz w:val="16"/>
      <w:szCs w:val="16"/>
      <w:u w:color="000000"/>
    </w:rPr>
  </w:style>
  <w:style w:type="paragraph" w:styleId="Legenda">
    <w:name w:val="caption"/>
    <w:pPr>
      <w:suppressAutoHyphens/>
      <w:outlineLvl w:val="0"/>
    </w:pPr>
    <w:rPr>
      <w:rFonts w:ascii="Helvetica Neue" w:eastAsia="Helvetica Neue" w:hAnsi="Helvetica Neue" w:cs="Helvetica Neue"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  <w:uiPriority w:val="1"/>
  </w:style>
  <w:style w:type="character" w:customStyle="1" w:styleId="Hyperlink0">
    <w:name w:val="Hyperlink.0"/>
    <w:basedOn w:val="Brak"/>
    <w:rPr>
      <w:outline w:val="0"/>
      <w:color w:val="4F81BD"/>
      <w:sz w:val="18"/>
      <w:szCs w:val="18"/>
      <w:u w:val="single" w:color="4F81BD"/>
    </w:rPr>
  </w:style>
  <w:style w:type="character" w:customStyle="1" w:styleId="Hyperlink1">
    <w:name w:val="Hyperlink.1"/>
    <w:basedOn w:val="Brak"/>
    <w:rPr>
      <w:outline w:val="0"/>
      <w:color w:val="4F81BD"/>
      <w:kern w:val="16"/>
      <w:u w:val="single" w:color="4F81BD"/>
    </w:rPr>
  </w:style>
  <w:style w:type="table" w:styleId="Tabela-Siatka">
    <w:name w:val="Table Grid"/>
    <w:basedOn w:val="Standardowy"/>
    <w:uiPriority w:val="39"/>
    <w:rsid w:val="00CB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CB5C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42C0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2C0"/>
    <w:rPr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840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40B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840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40BF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6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6B1"/>
    <w:rPr>
      <w:b/>
      <w:bCs/>
    </w:rPr>
  </w:style>
  <w:style w:type="character" w:customStyle="1" w:styleId="BrakA">
    <w:name w:val="Brak A"/>
    <w:rsid w:val="00EC6114"/>
    <w:rPr>
      <w:lang w:val="it-IT"/>
    </w:rPr>
  </w:style>
  <w:style w:type="paragraph" w:styleId="Poprawka">
    <w:name w:val="Revision"/>
    <w:hidden/>
    <w:uiPriority w:val="99"/>
    <w:semiHidden/>
    <w:rsid w:val="008045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4F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4F6E"/>
  </w:style>
  <w:style w:type="character" w:styleId="Odwoanieprzypisukocowego">
    <w:name w:val="endnote reference"/>
    <w:basedOn w:val="Domylnaczcionkaakapitu"/>
    <w:uiPriority w:val="99"/>
    <w:semiHidden/>
    <w:unhideWhenUsed/>
    <w:rsid w:val="001E4F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1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andstad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ateusz.zydek@randstad.p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806001-f250-4bc2-a379-ef9f7ab61598">
      <UserInfo>
        <DisplayName>Joanna  Lewandowska</DisplayName>
        <AccountId>27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431C5474A6E042BB3EF77AA281A3CD" ma:contentTypeVersion="8" ma:contentTypeDescription="Utwórz nowy dokument." ma:contentTypeScope="" ma:versionID="6c5c96df63c5e7c3ad089b031480230b">
  <xsd:schema xmlns:xsd="http://www.w3.org/2001/XMLSchema" xmlns:xs="http://www.w3.org/2001/XMLSchema" xmlns:p="http://schemas.microsoft.com/office/2006/metadata/properties" xmlns:ns2="e96b853f-ce18-4c85-b253-3397f9074f2a" xmlns:ns3="7b806001-f250-4bc2-a379-ef9f7ab61598" targetNamespace="http://schemas.microsoft.com/office/2006/metadata/properties" ma:root="true" ma:fieldsID="9c9f00dbc758703fc413bd2ef9eb8af6" ns2:_="" ns3:_="">
    <xsd:import namespace="e96b853f-ce18-4c85-b253-3397f9074f2a"/>
    <xsd:import namespace="7b806001-f250-4bc2-a379-ef9f7ab61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b853f-ce18-4c85-b253-3397f9074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06001-f250-4bc2-a379-ef9f7ab61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5BE88-6996-4C53-8013-5F542C5C516B}">
  <ds:schemaRefs>
    <ds:schemaRef ds:uri="http://schemas.microsoft.com/office/2006/metadata/properties"/>
    <ds:schemaRef ds:uri="http://schemas.microsoft.com/office/infopath/2007/PartnerControls"/>
    <ds:schemaRef ds:uri="7b806001-f250-4bc2-a379-ef9f7ab61598"/>
  </ds:schemaRefs>
</ds:datastoreItem>
</file>

<file path=customXml/itemProps2.xml><?xml version="1.0" encoding="utf-8"?>
<ds:datastoreItem xmlns:ds="http://schemas.openxmlformats.org/officeDocument/2006/customXml" ds:itemID="{2F06E553-1144-4DC9-B0D9-519DD8277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6b853f-ce18-4c85-b253-3397f9074f2a"/>
    <ds:schemaRef ds:uri="7b806001-f250-4bc2-a379-ef9f7ab61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25A03E-E44E-44BA-B463-1C17D51167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8B1294-9B70-4579-BD30-1F30B75A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2158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 Żydek</dc:creator>
  <cp:lastModifiedBy>Mateusz Żydek</cp:lastModifiedBy>
  <cp:revision>83</cp:revision>
  <cp:lastPrinted>2022-10-03T08:58:00Z</cp:lastPrinted>
  <dcterms:created xsi:type="dcterms:W3CDTF">2024-10-08T14:37:00Z</dcterms:created>
  <dcterms:modified xsi:type="dcterms:W3CDTF">2025-10-20T06:22:00Z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0x0101006E431C5474A6E042BB3EF77AA281A3CD</vt:lpwstr>
  </property>
</Properties>
</file>