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F35F" w14:textId="77777777" w:rsidR="00480DB6" w:rsidRDefault="00480DB6" w:rsidP="001B61CA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3DFB73FB" w14:textId="77777777" w:rsidR="006844DB" w:rsidRDefault="006844DB" w:rsidP="001B61CA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729D304F" w14:textId="77777777" w:rsidR="006844DB" w:rsidRPr="002619B9" w:rsidRDefault="006844DB" w:rsidP="001B61CA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13533585" w14:textId="77777777" w:rsidR="009F3007" w:rsidRDefault="009F3007" w:rsidP="001B61CA">
      <w:pPr>
        <w:pStyle w:val="TreA"/>
        <w:widowControl w:val="0"/>
        <w:ind w:left="108" w:hanging="108"/>
        <w:jc w:val="both"/>
        <w:rPr>
          <w:rFonts w:ascii="Tahoma" w:hAnsi="Tahoma" w:cs="Tahoma"/>
        </w:rPr>
      </w:pPr>
    </w:p>
    <w:p w14:paraId="7A38FBAA" w14:textId="77777777" w:rsidR="00BF1D35" w:rsidRDefault="00BF1D35" w:rsidP="001B61CA">
      <w:pPr>
        <w:pStyle w:val="TreA"/>
        <w:widowControl w:val="0"/>
        <w:ind w:left="108" w:hanging="108"/>
        <w:jc w:val="both"/>
        <w:rPr>
          <w:rFonts w:ascii="Tahoma" w:hAnsi="Tahoma" w:cs="Tahoma"/>
        </w:rPr>
      </w:pPr>
    </w:p>
    <w:p w14:paraId="771BAC7B" w14:textId="77777777" w:rsidR="00BF1D35" w:rsidRPr="00010C3C" w:rsidRDefault="00BF1D35" w:rsidP="001B61CA">
      <w:pPr>
        <w:pStyle w:val="TreA"/>
        <w:widowControl w:val="0"/>
        <w:ind w:left="108" w:hanging="108"/>
        <w:jc w:val="both"/>
        <w:rPr>
          <w:rFonts w:ascii="Tahoma" w:hAnsi="Tahoma" w:cs="Tahoma"/>
        </w:rPr>
      </w:pPr>
    </w:p>
    <w:p w14:paraId="7BB4D11B" w14:textId="77777777" w:rsidR="009F3007" w:rsidRPr="00010C3C" w:rsidRDefault="009F3007" w:rsidP="001B61CA">
      <w:pPr>
        <w:pStyle w:val="Normalny1"/>
        <w:spacing w:line="280" w:lineRule="atLeast"/>
        <w:jc w:val="both"/>
        <w:rPr>
          <w:rFonts w:eastAsia="Tahoma Bold"/>
        </w:rPr>
      </w:pPr>
    </w:p>
    <w:tbl>
      <w:tblPr>
        <w:tblpPr w:leftFromText="141" w:rightFromText="141" w:vertAnchor="text" w:horzAnchor="page" w:tblpX="391" w:tblpY="-25"/>
        <w:tblOverlap w:val="never"/>
        <w:tblW w:w="15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9"/>
      </w:tblGrid>
      <w:tr w:rsidR="001E5B9E" w:rsidRPr="00010C3C" w14:paraId="080C25AA" w14:textId="77777777" w:rsidTr="001E5B9E">
        <w:trPr>
          <w:trHeight w:val="241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704B3" w14:textId="77777777" w:rsidR="001E5B9E" w:rsidRPr="00010C3C" w:rsidRDefault="000666F8" w:rsidP="00CB0C91">
            <w:pPr>
              <w:pStyle w:val="Normalny1"/>
              <w:spacing w:line="360" w:lineRule="auto"/>
              <w:ind w:left="62"/>
              <w:jc w:val="both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</w:t>
            </w:r>
            <w:r w:rsidR="001E5B9E" w:rsidRPr="00010C3C">
              <w:rPr>
                <w:sz w:val="16"/>
                <w:szCs w:val="16"/>
                <w:lang w:val="pl-PL"/>
              </w:rPr>
              <w:t xml:space="preserve"> </w:t>
            </w:r>
            <w:r w:rsidR="00220F64">
              <w:rPr>
                <w:sz w:val="16"/>
                <w:szCs w:val="16"/>
                <w:lang w:val="pl-PL"/>
              </w:rPr>
              <w:t xml:space="preserve">stycznia </w:t>
            </w:r>
            <w:r w:rsidR="001E5B9E" w:rsidRPr="00010C3C">
              <w:rPr>
                <w:sz w:val="16"/>
                <w:szCs w:val="16"/>
                <w:lang w:val="pl-PL"/>
              </w:rPr>
              <w:t>202</w:t>
            </w:r>
            <w:r w:rsidR="00220F64">
              <w:rPr>
                <w:sz w:val="16"/>
                <w:szCs w:val="16"/>
                <w:lang w:val="pl-PL"/>
              </w:rPr>
              <w:t>4</w:t>
            </w:r>
            <w:r w:rsidR="001E5B9E" w:rsidRPr="00010C3C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1E5B9E" w:rsidRPr="001E5B9E" w14:paraId="08DABA2F" w14:textId="77777777" w:rsidTr="001E5B9E">
        <w:trPr>
          <w:trHeight w:val="8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550DAE0B" w14:textId="77777777" w:rsidR="001E5B9E" w:rsidRPr="00010C3C" w:rsidRDefault="001E5B9E" w:rsidP="00CB0C91">
            <w:pPr>
              <w:pStyle w:val="Nagwek21"/>
              <w:spacing w:line="360" w:lineRule="auto"/>
              <w:ind w:left="-514" w:firstLine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informacje dodatkowe:</w:t>
            </w:r>
            <w:r>
              <w:rPr>
                <w:rFonts w:ascii="Tahoma" w:hAnsi="Tahoma" w:cs="Tahoma"/>
                <w:lang w:val="pl-PL"/>
              </w:rPr>
              <w:br/>
            </w:r>
            <w:r w:rsidRPr="00010C3C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1E5B9E" w:rsidRPr="001E5B9E" w14:paraId="166A4D8F" w14:textId="77777777" w:rsidTr="001E5B9E">
        <w:trPr>
          <w:trHeight w:val="302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55CEA" w14:textId="77777777" w:rsidR="001E5B9E" w:rsidRPr="001E5B9E" w:rsidRDefault="001E5B9E" w:rsidP="00CB0C91">
            <w:pPr>
              <w:pStyle w:val="Normalny1"/>
              <w:spacing w:line="360" w:lineRule="auto"/>
              <w:ind w:left="62"/>
              <w:rPr>
                <w:lang w:val="pl-PL"/>
              </w:rPr>
            </w:pPr>
            <w:r w:rsidRPr="001E5B9E">
              <w:rPr>
                <w:sz w:val="12"/>
                <w:lang w:val="pl-PL"/>
              </w:rPr>
              <w:t>telefon:</w:t>
            </w:r>
            <w:r>
              <w:rPr>
                <w:lang w:val="pl-PL"/>
              </w:rPr>
              <w:br/>
            </w:r>
            <w:r>
              <w:rPr>
                <w:sz w:val="16"/>
                <w:szCs w:val="16"/>
                <w:lang w:val="pl-PL"/>
              </w:rPr>
              <w:t>+48</w:t>
            </w:r>
            <w:r w:rsidRPr="001E5B9E">
              <w:rPr>
                <w:lang w:val="pl-PL"/>
              </w:rPr>
              <w:t xml:space="preserve"> </w:t>
            </w:r>
            <w:r w:rsidRPr="001E5B9E">
              <w:rPr>
                <w:sz w:val="16"/>
                <w:szCs w:val="16"/>
                <w:lang w:val="pl-PL"/>
              </w:rPr>
              <w:t>665 305 902</w:t>
            </w:r>
          </w:p>
        </w:tc>
      </w:tr>
      <w:tr w:rsidR="001E5B9E" w:rsidRPr="001E5B9E" w14:paraId="01FE9CB3" w14:textId="77777777" w:rsidTr="001E5B9E">
        <w:trPr>
          <w:trHeight w:val="233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072E248B" w14:textId="77777777" w:rsidR="00CB0C91" w:rsidRPr="001400DC" w:rsidRDefault="001E5B9E" w:rsidP="00CB0C91">
            <w:pPr>
              <w:pStyle w:val="Nagwek21"/>
              <w:spacing w:line="360" w:lineRule="auto"/>
              <w:ind w:left="-514" w:firstLine="0"/>
              <w:jc w:val="both"/>
              <w:rPr>
                <w:rFonts w:ascii="Tahoma" w:hAnsi="Tahoma" w:cs="Tahoma"/>
              </w:rPr>
            </w:pPr>
            <w:r w:rsidRPr="001400DC">
              <w:rPr>
                <w:rFonts w:ascii="Tahoma" w:hAnsi="Tahoma" w:cs="Tahoma"/>
              </w:rPr>
              <w:t>e-mail:</w:t>
            </w:r>
            <w:r w:rsidR="00CB0C91" w:rsidRPr="001400DC">
              <w:rPr>
                <w:rFonts w:ascii="Tahoma" w:hAnsi="Tahoma" w:cs="Tahoma"/>
              </w:rPr>
              <w:br/>
            </w:r>
            <w:proofErr w:type="spellStart"/>
            <w:r w:rsidR="00CB0C91" w:rsidRPr="001400DC">
              <w:rPr>
                <w:rFonts w:ascii="Tahoma" w:hAnsi="Tahoma" w:cs="Tahoma"/>
              </w:rPr>
              <w:t>mateusz.zydek</w:t>
            </w:r>
            <w:proofErr w:type="spellEnd"/>
          </w:p>
          <w:p w14:paraId="103CA7D0" w14:textId="77777777" w:rsidR="001E5B9E" w:rsidRPr="001400DC" w:rsidRDefault="00CB0C91" w:rsidP="00CB0C91">
            <w:pPr>
              <w:pStyle w:val="Nagwek21"/>
              <w:spacing w:line="360" w:lineRule="auto"/>
              <w:ind w:left="-514" w:firstLine="0"/>
              <w:jc w:val="both"/>
              <w:rPr>
                <w:rFonts w:ascii="Tahoma" w:hAnsi="Tahoma" w:cs="Tahoma"/>
              </w:rPr>
            </w:pPr>
            <w:r w:rsidRPr="001400DC">
              <w:rPr>
                <w:rFonts w:ascii="Tahoma" w:hAnsi="Tahoma" w:cs="Tahoma"/>
              </w:rPr>
              <w:t>@randstad.pl</w:t>
            </w:r>
          </w:p>
        </w:tc>
      </w:tr>
      <w:tr w:rsidR="001E5B9E" w:rsidRPr="001E5B9E" w14:paraId="448B4F81" w14:textId="77777777" w:rsidTr="001E5B9E">
        <w:trPr>
          <w:trHeight w:val="95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E331B" w14:textId="77777777" w:rsidR="001E5B9E" w:rsidRPr="001400DC" w:rsidRDefault="001E5B9E" w:rsidP="001E5B9E">
            <w:pPr>
              <w:pStyle w:val="Normalny1"/>
              <w:spacing w:line="240" w:lineRule="exact"/>
              <w:jc w:val="both"/>
            </w:pPr>
          </w:p>
        </w:tc>
      </w:tr>
    </w:tbl>
    <w:p w14:paraId="2F75D74A" w14:textId="77777777" w:rsidR="009F3007" w:rsidRPr="00010C3C" w:rsidRDefault="00220F64" w:rsidP="00A0059F">
      <w:pPr>
        <w:pStyle w:val="HeaderAddress"/>
        <w:spacing w:line="280" w:lineRule="atLeast"/>
        <w:ind w:left="709"/>
        <w:rPr>
          <w:rFonts w:eastAsia="Tahoma Bold"/>
          <w:sz w:val="20"/>
          <w:szCs w:val="20"/>
          <w:lang w:val="pl-PL"/>
        </w:rPr>
      </w:pPr>
      <w:r>
        <w:rPr>
          <w:color w:val="0070C0"/>
          <w:sz w:val="32"/>
          <w:szCs w:val="32"/>
          <w:lang w:val="pl-PL"/>
        </w:rPr>
        <w:t xml:space="preserve">Początek roku pod znakiem </w:t>
      </w:r>
      <w:r w:rsidR="00DF0109">
        <w:rPr>
          <w:color w:val="0070C0"/>
          <w:sz w:val="32"/>
          <w:szCs w:val="32"/>
          <w:lang w:val="pl-PL"/>
        </w:rPr>
        <w:t>rosnących</w:t>
      </w:r>
      <w:r>
        <w:rPr>
          <w:color w:val="0070C0"/>
          <w:sz w:val="32"/>
          <w:szCs w:val="32"/>
          <w:lang w:val="pl-PL"/>
        </w:rPr>
        <w:t xml:space="preserve"> oczekiwań płacowych: 60 proc. Polaków spodziewa się podwyżki, a co trzeci zamierza sam się o nią upomnieć</w:t>
      </w:r>
      <w:r w:rsidRPr="00220F64">
        <w:rPr>
          <w:rFonts w:ascii="Helvetica Neue" w:hAnsi="Helvetica Neue"/>
          <w:b/>
          <w:bCs/>
          <w:sz w:val="20"/>
          <w:szCs w:val="20"/>
          <w:lang w:val="pl-PL"/>
        </w:rPr>
        <w:t xml:space="preserve"> </w:t>
      </w:r>
    </w:p>
    <w:p w14:paraId="56D0FA0A" w14:textId="77777777" w:rsidR="00A65F1E" w:rsidRDefault="009F3007" w:rsidP="00A0059F">
      <w:pPr>
        <w:ind w:left="709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  </w:t>
      </w:r>
    </w:p>
    <w:p w14:paraId="2A152867" w14:textId="77777777" w:rsidR="00F71F4E" w:rsidRDefault="00F71F4E" w:rsidP="00A0059F">
      <w:pPr>
        <w:ind w:left="709"/>
        <w:rPr>
          <w:rFonts w:ascii="Tahoma" w:hAnsi="Tahoma" w:cs="Tahoma"/>
          <w:b/>
          <w:bCs/>
          <w:sz w:val="18"/>
          <w:szCs w:val="18"/>
          <w:lang w:val="pl-PL"/>
        </w:rPr>
      </w:pPr>
    </w:p>
    <w:p w14:paraId="08BBB7EF" w14:textId="77777777" w:rsidR="00C16B5B" w:rsidRPr="00437B37" w:rsidRDefault="00AF7038" w:rsidP="00437B37">
      <w:pPr>
        <w:pStyle w:val="Default"/>
        <w:ind w:left="708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 2024 r. większość </w:t>
      </w:r>
      <w:r w:rsidR="0033503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polskich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pracowników (60 proc.) oczekuje wzrostu pensji</w:t>
      </w:r>
      <w:r w:rsidR="00DF010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a co trzeci sam wyjdzie </w:t>
      </w:r>
      <w:r w:rsidR="007C45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 pracodawcy </w:t>
      </w:r>
      <w:r w:rsidR="00DF0109">
        <w:rPr>
          <w:rFonts w:ascii="Tahoma" w:hAnsi="Tahoma" w:cs="Tahoma"/>
          <w:b/>
          <w:bCs/>
          <w:color w:val="000000" w:themeColor="text1"/>
          <w:sz w:val="20"/>
          <w:szCs w:val="20"/>
        </w:rPr>
        <w:t>z taką inicjatywą</w:t>
      </w:r>
      <w:r w:rsidR="00705F78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DF010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4B0B8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Jako </w:t>
      </w:r>
      <w:r w:rsidR="00DC4D5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argumentację </w:t>
      </w:r>
      <w:r w:rsidR="00270E4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dla </w:t>
      </w:r>
      <w:r w:rsidR="00DC4D5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podwyżek, </w:t>
      </w:r>
      <w:r w:rsidR="0019409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zatrudnieni </w:t>
      </w:r>
      <w:r w:rsidR="00DC4D50">
        <w:rPr>
          <w:rFonts w:ascii="Tahoma" w:hAnsi="Tahoma" w:cs="Tahoma"/>
          <w:b/>
          <w:bCs/>
          <w:color w:val="000000" w:themeColor="text1"/>
          <w:sz w:val="20"/>
          <w:szCs w:val="20"/>
        </w:rPr>
        <w:t>wskazuj</w:t>
      </w:r>
      <w:r w:rsidR="0019409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ą </w:t>
      </w:r>
      <w:r w:rsidR="00DC4D5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równi dwa czynniki: rosnące ceny produktów i usług </w:t>
      </w:r>
      <w:r w:rsidR="00F507E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(66 proc.) </w:t>
      </w:r>
      <w:r w:rsidR="00DC4D5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oraz </w:t>
      </w:r>
      <w:r w:rsidR="00D0330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poczucie, że </w:t>
      </w:r>
      <w:r w:rsidR="00AD6E2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</w:t>
      </w:r>
      <w:r w:rsidR="00D03300">
        <w:rPr>
          <w:rFonts w:ascii="Tahoma" w:hAnsi="Tahoma" w:cs="Tahoma"/>
          <w:b/>
          <w:bCs/>
          <w:color w:val="000000" w:themeColor="text1"/>
          <w:sz w:val="20"/>
          <w:szCs w:val="20"/>
        </w:rPr>
        <w:t>w</w:t>
      </w:r>
      <w:r w:rsidR="001C006C">
        <w:rPr>
          <w:rFonts w:ascii="Tahoma" w:hAnsi="Tahoma" w:cs="Tahoma"/>
          <w:b/>
          <w:bCs/>
          <w:color w:val="000000" w:themeColor="text1"/>
          <w:sz w:val="20"/>
          <w:szCs w:val="20"/>
        </w:rPr>
        <w:t>yższ</w:t>
      </w:r>
      <w:r w:rsidR="00AD6E26">
        <w:rPr>
          <w:rFonts w:ascii="Tahoma" w:hAnsi="Tahoma" w:cs="Tahoma"/>
          <w:b/>
          <w:bCs/>
          <w:color w:val="000000" w:themeColor="text1"/>
          <w:sz w:val="20"/>
          <w:szCs w:val="20"/>
        </w:rPr>
        <w:t>e</w:t>
      </w:r>
      <w:r w:rsidR="00D0330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wynagrodzenie </w:t>
      </w:r>
      <w:r w:rsidR="00AD6E26">
        <w:rPr>
          <w:rFonts w:ascii="Tahoma" w:hAnsi="Tahoma" w:cs="Tahoma"/>
          <w:b/>
          <w:bCs/>
          <w:color w:val="000000" w:themeColor="text1"/>
          <w:sz w:val="20"/>
          <w:szCs w:val="20"/>
        </w:rPr>
        <w:t>za</w:t>
      </w:r>
      <w:r w:rsidR="00716646">
        <w:rPr>
          <w:rFonts w:ascii="Tahoma" w:hAnsi="Tahoma" w:cs="Tahoma"/>
          <w:b/>
          <w:bCs/>
          <w:color w:val="000000" w:themeColor="text1"/>
          <w:sz w:val="20"/>
          <w:szCs w:val="20"/>
        </w:rPr>
        <w:t>sługują z powodu</w:t>
      </w:r>
      <w:r w:rsidR="00AD6E2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BE6205">
        <w:rPr>
          <w:rFonts w:ascii="Tahoma" w:hAnsi="Tahoma" w:cs="Tahoma"/>
          <w:b/>
          <w:bCs/>
          <w:color w:val="000000" w:themeColor="text1"/>
          <w:sz w:val="20"/>
          <w:szCs w:val="20"/>
        </w:rPr>
        <w:t>wysok</w:t>
      </w:r>
      <w:r w:rsidR="00B17D0E">
        <w:rPr>
          <w:rFonts w:ascii="Tahoma" w:hAnsi="Tahoma" w:cs="Tahoma"/>
          <w:b/>
          <w:bCs/>
          <w:color w:val="000000" w:themeColor="text1"/>
          <w:sz w:val="20"/>
          <w:szCs w:val="20"/>
        </w:rPr>
        <w:t>iej</w:t>
      </w:r>
      <w:r w:rsidR="00BE620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jakoś</w:t>
      </w:r>
      <w:r w:rsidR="00FF3F57">
        <w:rPr>
          <w:rFonts w:ascii="Tahoma" w:hAnsi="Tahoma" w:cs="Tahoma"/>
          <w:b/>
          <w:bCs/>
          <w:color w:val="000000" w:themeColor="text1"/>
          <w:sz w:val="20"/>
          <w:szCs w:val="20"/>
        </w:rPr>
        <w:t>ci</w:t>
      </w:r>
      <w:r w:rsidR="00BE620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świadczonej pracy </w:t>
      </w:r>
      <w:r w:rsidR="00F507ED">
        <w:rPr>
          <w:rFonts w:ascii="Tahoma" w:hAnsi="Tahoma" w:cs="Tahoma"/>
          <w:b/>
          <w:bCs/>
          <w:color w:val="000000" w:themeColor="text1"/>
          <w:sz w:val="20"/>
          <w:szCs w:val="20"/>
        </w:rPr>
        <w:t>(</w:t>
      </w:r>
      <w:r w:rsidR="00270E4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66 proc.) </w:t>
      </w:r>
      <w:r w:rsidR="00D0330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– takie wnioski </w:t>
      </w:r>
      <w:r w:rsidR="00D03300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płyną </w:t>
      </w:r>
      <w:r w:rsidR="00270E4C" w:rsidRPr="00532E13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z 5</w:t>
      </w:r>
      <w:r w:rsidR="00270E4C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4</w:t>
      </w:r>
      <w:r w:rsidR="00270E4C" w:rsidRPr="00532E13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. edycji badania Monitor Rynku Pracy przeprowadzanego przez Instytut Badawczy </w:t>
      </w:r>
      <w:proofErr w:type="spellStart"/>
      <w:r w:rsidR="00270E4C" w:rsidRPr="00532E13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Randstad</w:t>
      </w:r>
      <w:proofErr w:type="spellEnd"/>
      <w:r w:rsidR="00270E4C" w:rsidRPr="00532E13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 i </w:t>
      </w:r>
      <w:r w:rsidR="00270E4C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Instytut Badań </w:t>
      </w:r>
      <w:proofErr w:type="spellStart"/>
      <w:r w:rsidR="00270E4C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Pollster</w:t>
      </w:r>
      <w:proofErr w:type="spellEnd"/>
      <w:r w:rsidR="00270E4C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="001C006C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C006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Rotacja na rynku pracy utrzymuje się na stabilnym poziomie. </w:t>
      </w:r>
      <w:r w:rsidR="00437B3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 innej firmy odszedł </w:t>
      </w:r>
      <w:r w:rsidR="001C006C" w:rsidRPr="00532E13">
        <w:rPr>
          <w:rFonts w:ascii="Tahoma" w:hAnsi="Tahoma" w:cs="Tahoma"/>
          <w:b/>
          <w:bCs/>
          <w:color w:val="000000" w:themeColor="text1"/>
          <w:sz w:val="20"/>
          <w:szCs w:val="20"/>
        </w:rPr>
        <w:t>co piąty pracownik</w:t>
      </w:r>
      <w:r w:rsidR="001C006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– to wynik </w:t>
      </w:r>
      <w:r w:rsidR="00C16B5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identyczny jak </w:t>
      </w:r>
      <w:r w:rsidR="009E2FE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 </w:t>
      </w:r>
      <w:r w:rsidR="001C006C">
        <w:rPr>
          <w:rFonts w:ascii="Tahoma" w:hAnsi="Tahoma" w:cs="Tahoma"/>
          <w:b/>
          <w:bCs/>
          <w:color w:val="000000" w:themeColor="text1"/>
          <w:sz w:val="20"/>
          <w:szCs w:val="20"/>
        </w:rPr>
        <w:t>poprzednim kwartale</w:t>
      </w:r>
      <w:r w:rsidR="001C006C" w:rsidRPr="00532E13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1C006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Zbliżona liczba osób</w:t>
      </w:r>
      <w:r w:rsidR="001C006C" w:rsidRPr="00532E1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zmieniła też</w:t>
      </w:r>
      <w:r w:rsidR="00C16B5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C006C" w:rsidRPr="00532E1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stanowisko </w:t>
      </w:r>
      <w:r w:rsidR="005C4983">
        <w:rPr>
          <w:rFonts w:ascii="Tahoma" w:hAnsi="Tahoma" w:cs="Tahoma"/>
          <w:b/>
          <w:bCs/>
          <w:color w:val="000000" w:themeColor="text1"/>
          <w:sz w:val="20"/>
          <w:szCs w:val="20"/>
        </w:rPr>
        <w:t>u obecnego</w:t>
      </w:r>
      <w:r w:rsidR="00437B3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5C4983">
        <w:rPr>
          <w:rFonts w:ascii="Tahoma" w:hAnsi="Tahoma" w:cs="Tahoma"/>
          <w:b/>
          <w:bCs/>
          <w:color w:val="000000" w:themeColor="text1"/>
          <w:sz w:val="20"/>
          <w:szCs w:val="20"/>
        </w:rPr>
        <w:t>pracodawcy.</w:t>
      </w:r>
    </w:p>
    <w:p w14:paraId="248C0E5D" w14:textId="77777777" w:rsidR="00826420" w:rsidRDefault="00826420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2C0FC4A7" w14:textId="77777777" w:rsidR="00DC4D50" w:rsidRDefault="00DC4D50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73F7FD5A" w14:textId="77777777" w:rsidR="00826420" w:rsidRDefault="007819A7" w:rsidP="00826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Tahoma" w:hAnsi="Tahoma" w:cs="Tahoma"/>
          <w:b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/>
          <w:bCs/>
          <w:color w:val="0070C0"/>
          <w:sz w:val="20"/>
          <w:szCs w:val="20"/>
          <w:lang w:val="pl-PL"/>
        </w:rPr>
        <w:t>Apetyt na podwyżki systematycznie rośnie</w:t>
      </w:r>
    </w:p>
    <w:p w14:paraId="0BBF58DD" w14:textId="77777777" w:rsidR="00826420" w:rsidRDefault="00826420" w:rsidP="00826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Tahoma" w:hAnsi="Tahoma" w:cs="Tahoma"/>
          <w:b/>
          <w:bCs/>
          <w:color w:val="0070C0"/>
          <w:sz w:val="20"/>
          <w:szCs w:val="20"/>
          <w:lang w:val="pl-PL"/>
        </w:rPr>
      </w:pPr>
    </w:p>
    <w:p w14:paraId="46C0D0CE" w14:textId="77777777" w:rsidR="009F740A" w:rsidRPr="00650837" w:rsidRDefault="004B0DAE" w:rsidP="000A49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Na </w:t>
      </w:r>
      <w:r w:rsidR="00085CED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przestrzeni </w:t>
      </w:r>
      <w:r w:rsidR="003172A0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badań z </w:t>
      </w:r>
      <w:r w:rsidR="0081714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ostatnich 3 lat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widać, jak o</w:t>
      </w:r>
      <w:r w:rsidR="00826420" w:rsidRPr="009F740A">
        <w:rPr>
          <w:rFonts w:ascii="Tahoma" w:hAnsi="Tahoma" w:cs="Tahoma"/>
          <w:color w:val="000000" w:themeColor="text1"/>
          <w:sz w:val="20"/>
          <w:szCs w:val="20"/>
          <w:lang w:val="pl-PL"/>
        </w:rPr>
        <w:t>dsetek pracowników spodziewających się podwyżek s</w:t>
      </w:r>
      <w:r w:rsidR="008A0863" w:rsidRPr="009F740A">
        <w:rPr>
          <w:rFonts w:ascii="Tahoma" w:hAnsi="Tahoma" w:cs="Tahoma"/>
          <w:color w:val="000000" w:themeColor="text1"/>
          <w:sz w:val="20"/>
          <w:szCs w:val="20"/>
          <w:lang w:val="pl-PL"/>
        </w:rPr>
        <w:t>ukcesywnie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r</w:t>
      </w:r>
      <w:r w:rsidR="003F473A">
        <w:rPr>
          <w:rFonts w:ascii="Tahoma" w:hAnsi="Tahoma" w:cs="Tahoma"/>
          <w:color w:val="000000" w:themeColor="text1"/>
          <w:sz w:val="20"/>
          <w:szCs w:val="20"/>
          <w:lang w:val="pl-PL"/>
        </w:rPr>
        <w:t>ósł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. </w:t>
      </w:r>
      <w:r w:rsidR="00EF752F">
        <w:rPr>
          <w:rFonts w:ascii="Tahoma" w:hAnsi="Tahoma" w:cs="Tahoma"/>
          <w:color w:val="000000" w:themeColor="text1"/>
          <w:sz w:val="20"/>
          <w:szCs w:val="20"/>
          <w:lang w:val="pl-PL"/>
        </w:rPr>
        <w:t>U progu 202</w:t>
      </w:r>
      <w:r w:rsidR="00506725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EF752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r</w:t>
      </w:r>
      <w:r w:rsidR="00F33C0A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EF752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było </w:t>
      </w:r>
      <w:r w:rsidR="009E2FE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ich </w:t>
      </w:r>
      <w:r w:rsidR="000A49BD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50 proc., </w:t>
      </w:r>
      <w:r w:rsidR="0050672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z początkiem 2023 </w:t>
      </w:r>
      <w:r w:rsidR="00F33C0A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  <w:r w:rsidR="000E1C78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506725" w:rsidRPr="0050672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– </w:t>
      </w:r>
      <w:r w:rsidR="000A49BD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53 proc. aż do 60 proc. </w:t>
      </w:r>
      <w:r w:rsidR="00616BF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obecnie. </w:t>
      </w:r>
      <w:r w:rsidR="009F740A" w:rsidRPr="00650837">
        <w:rPr>
          <w:rFonts w:ascii="Tahoma" w:hAnsi="Tahoma" w:cs="Tahoma"/>
          <w:sz w:val="20"/>
          <w:szCs w:val="20"/>
          <w:lang w:val="pl-PL"/>
        </w:rPr>
        <w:t>Wystąpić samemu o podwyżkę w 2024 r. zamierza</w:t>
      </w:r>
      <w:r w:rsidR="00C80C2D">
        <w:rPr>
          <w:rFonts w:ascii="Tahoma" w:hAnsi="Tahoma" w:cs="Tahoma"/>
          <w:sz w:val="20"/>
          <w:szCs w:val="20"/>
          <w:lang w:val="pl-PL"/>
        </w:rPr>
        <w:t xml:space="preserve"> </w:t>
      </w:r>
      <w:r w:rsidR="003E3B89">
        <w:rPr>
          <w:rFonts w:ascii="Tahoma" w:hAnsi="Tahoma" w:cs="Tahoma"/>
          <w:sz w:val="20"/>
          <w:szCs w:val="20"/>
          <w:lang w:val="pl-PL"/>
        </w:rPr>
        <w:t xml:space="preserve">niemal </w:t>
      </w:r>
      <w:r w:rsidR="009E2FE7" w:rsidRPr="00650837">
        <w:rPr>
          <w:rFonts w:ascii="Tahoma" w:hAnsi="Tahoma" w:cs="Tahoma"/>
          <w:sz w:val="20"/>
          <w:szCs w:val="20"/>
          <w:lang w:val="pl-PL"/>
        </w:rPr>
        <w:t xml:space="preserve">co </w:t>
      </w:r>
      <w:r w:rsidR="009F740A" w:rsidRPr="00650837">
        <w:rPr>
          <w:rFonts w:ascii="Tahoma" w:hAnsi="Tahoma" w:cs="Tahoma"/>
          <w:sz w:val="20"/>
          <w:szCs w:val="20"/>
          <w:lang w:val="pl-PL"/>
        </w:rPr>
        <w:t>trzeci pracownik</w:t>
      </w:r>
      <w:r w:rsidR="003E3B89">
        <w:rPr>
          <w:rFonts w:ascii="Tahoma" w:hAnsi="Tahoma" w:cs="Tahoma"/>
          <w:sz w:val="20"/>
          <w:szCs w:val="20"/>
          <w:lang w:val="pl-PL"/>
        </w:rPr>
        <w:t xml:space="preserve"> (30 proc.)</w:t>
      </w:r>
      <w:r w:rsidR="00C80C2D">
        <w:rPr>
          <w:rFonts w:ascii="Tahoma" w:hAnsi="Tahoma" w:cs="Tahoma"/>
          <w:sz w:val="20"/>
          <w:szCs w:val="20"/>
          <w:lang w:val="pl-PL"/>
        </w:rPr>
        <w:t xml:space="preserve"> </w:t>
      </w:r>
      <w:r w:rsidR="00246C76" w:rsidRPr="00650837">
        <w:rPr>
          <w:rFonts w:ascii="Tahoma" w:hAnsi="Tahoma" w:cs="Tahoma"/>
          <w:sz w:val="20"/>
          <w:szCs w:val="20"/>
          <w:lang w:val="pl-PL"/>
        </w:rPr>
        <w:t xml:space="preserve">i jest to </w:t>
      </w:r>
      <w:r w:rsidR="009F740A" w:rsidRPr="00650837">
        <w:rPr>
          <w:rFonts w:ascii="Tahoma" w:hAnsi="Tahoma" w:cs="Tahoma"/>
          <w:sz w:val="20"/>
          <w:szCs w:val="20"/>
          <w:lang w:val="pl-PL"/>
        </w:rPr>
        <w:t xml:space="preserve">porównywalny odsetek </w:t>
      </w:r>
      <w:r w:rsidR="00246C76" w:rsidRPr="00650837">
        <w:rPr>
          <w:rFonts w:ascii="Tahoma" w:hAnsi="Tahoma" w:cs="Tahoma"/>
          <w:sz w:val="20"/>
          <w:szCs w:val="20"/>
          <w:lang w:val="pl-PL"/>
        </w:rPr>
        <w:t xml:space="preserve">do ubiegłych lat </w:t>
      </w:r>
      <w:r w:rsidR="009F740A" w:rsidRPr="00650837">
        <w:rPr>
          <w:rFonts w:ascii="Tahoma" w:hAnsi="Tahoma" w:cs="Tahoma"/>
          <w:sz w:val="20"/>
          <w:szCs w:val="20"/>
          <w:lang w:val="pl-PL"/>
        </w:rPr>
        <w:t>(3</w:t>
      </w:r>
      <w:r w:rsidR="00246C76" w:rsidRPr="00650837">
        <w:rPr>
          <w:rFonts w:ascii="Tahoma" w:hAnsi="Tahoma" w:cs="Tahoma"/>
          <w:sz w:val="20"/>
          <w:szCs w:val="20"/>
          <w:lang w:val="pl-PL"/>
        </w:rPr>
        <w:t>3 proc.</w:t>
      </w:r>
      <w:r w:rsidR="00650837">
        <w:rPr>
          <w:rFonts w:ascii="Tahoma" w:hAnsi="Tahoma" w:cs="Tahoma"/>
          <w:sz w:val="20"/>
          <w:szCs w:val="20"/>
          <w:lang w:val="pl-PL"/>
        </w:rPr>
        <w:t xml:space="preserve"> rok temu</w:t>
      </w:r>
      <w:r w:rsidR="009F740A" w:rsidRPr="00650837">
        <w:rPr>
          <w:rFonts w:ascii="Tahoma" w:hAnsi="Tahoma" w:cs="Tahoma"/>
          <w:sz w:val="20"/>
          <w:szCs w:val="20"/>
          <w:lang w:val="pl-PL"/>
        </w:rPr>
        <w:t>. i 32</w:t>
      </w:r>
      <w:r w:rsidR="00246C76" w:rsidRPr="00650837">
        <w:rPr>
          <w:rFonts w:ascii="Tahoma" w:hAnsi="Tahoma" w:cs="Tahoma"/>
          <w:sz w:val="20"/>
          <w:szCs w:val="20"/>
          <w:lang w:val="pl-PL"/>
        </w:rPr>
        <w:t xml:space="preserve"> proc.</w:t>
      </w:r>
      <w:r w:rsidR="009F740A" w:rsidRPr="00650837">
        <w:rPr>
          <w:rFonts w:ascii="Tahoma" w:hAnsi="Tahoma" w:cs="Tahoma"/>
          <w:sz w:val="20"/>
          <w:szCs w:val="20"/>
          <w:lang w:val="pl-PL"/>
        </w:rPr>
        <w:t xml:space="preserve"> </w:t>
      </w:r>
      <w:r w:rsidR="00650837">
        <w:rPr>
          <w:rFonts w:ascii="Tahoma" w:hAnsi="Tahoma" w:cs="Tahoma"/>
          <w:sz w:val="20"/>
          <w:szCs w:val="20"/>
          <w:lang w:val="pl-PL"/>
        </w:rPr>
        <w:t>dwa lata temu).</w:t>
      </w:r>
    </w:p>
    <w:p w14:paraId="6E17435A" w14:textId="77777777" w:rsidR="00246C76" w:rsidRDefault="00246C76" w:rsidP="009F740A">
      <w:pPr>
        <w:pStyle w:val="Default"/>
        <w:ind w:left="708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FCFB4" w14:textId="77777777" w:rsidR="00574E75" w:rsidRDefault="00672558" w:rsidP="00574E75">
      <w:pPr>
        <w:pStyle w:val="Default"/>
        <w:ind w:left="708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</w:t>
      </w:r>
      <w:r w:rsidR="00272E9A">
        <w:rPr>
          <w:rFonts w:ascii="Tahoma" w:hAnsi="Tahoma" w:cs="Tahoma"/>
          <w:color w:val="auto"/>
          <w:sz w:val="20"/>
          <w:szCs w:val="20"/>
        </w:rPr>
        <w:t xml:space="preserve">rgumentem </w:t>
      </w:r>
      <w:r>
        <w:rPr>
          <w:rFonts w:ascii="Tahoma" w:hAnsi="Tahoma" w:cs="Tahoma"/>
          <w:color w:val="auto"/>
          <w:sz w:val="20"/>
          <w:szCs w:val="20"/>
        </w:rPr>
        <w:t xml:space="preserve">za wyższym wynagrodzeniem, </w:t>
      </w:r>
      <w:r w:rsidR="007E4252">
        <w:rPr>
          <w:rFonts w:ascii="Tahoma" w:hAnsi="Tahoma" w:cs="Tahoma"/>
          <w:color w:val="auto"/>
          <w:sz w:val="20"/>
          <w:szCs w:val="20"/>
        </w:rPr>
        <w:t xml:space="preserve">podawanym </w:t>
      </w:r>
      <w:r>
        <w:rPr>
          <w:rFonts w:ascii="Tahoma" w:hAnsi="Tahoma" w:cs="Tahoma"/>
          <w:color w:val="auto"/>
          <w:sz w:val="20"/>
          <w:szCs w:val="20"/>
        </w:rPr>
        <w:t xml:space="preserve">teraz </w:t>
      </w:r>
      <w:r w:rsidR="00246C76">
        <w:rPr>
          <w:rFonts w:ascii="Tahoma" w:hAnsi="Tahoma" w:cs="Tahoma"/>
          <w:color w:val="auto"/>
          <w:sz w:val="20"/>
          <w:szCs w:val="20"/>
        </w:rPr>
        <w:t>równie częst</w:t>
      </w:r>
      <w:r w:rsidR="007E4252">
        <w:rPr>
          <w:rFonts w:ascii="Tahoma" w:hAnsi="Tahoma" w:cs="Tahoma"/>
          <w:color w:val="auto"/>
          <w:sz w:val="20"/>
          <w:szCs w:val="20"/>
        </w:rPr>
        <w:t>o</w:t>
      </w:r>
      <w:r w:rsidR="00246C76">
        <w:rPr>
          <w:rFonts w:ascii="Tahoma" w:hAnsi="Tahoma" w:cs="Tahoma"/>
          <w:color w:val="auto"/>
          <w:sz w:val="20"/>
          <w:szCs w:val="20"/>
        </w:rPr>
        <w:t xml:space="preserve"> jak inflacj</w:t>
      </w:r>
      <w:r w:rsidR="00272E9A">
        <w:rPr>
          <w:rFonts w:ascii="Tahoma" w:hAnsi="Tahoma" w:cs="Tahoma"/>
          <w:color w:val="auto"/>
          <w:sz w:val="20"/>
          <w:szCs w:val="20"/>
        </w:rPr>
        <w:t>a</w:t>
      </w:r>
      <w:r w:rsidR="00246C76">
        <w:rPr>
          <w:rFonts w:ascii="Tahoma" w:hAnsi="Tahoma" w:cs="Tahoma"/>
          <w:color w:val="auto"/>
          <w:sz w:val="20"/>
          <w:szCs w:val="20"/>
        </w:rPr>
        <w:t xml:space="preserve">, </w:t>
      </w:r>
      <w:r w:rsidR="007E4252">
        <w:rPr>
          <w:rFonts w:ascii="Tahoma" w:hAnsi="Tahoma" w:cs="Tahoma"/>
          <w:color w:val="auto"/>
          <w:sz w:val="20"/>
          <w:szCs w:val="20"/>
        </w:rPr>
        <w:t xml:space="preserve">jest </w:t>
      </w:r>
      <w:r w:rsidR="00AC4A50">
        <w:rPr>
          <w:rFonts w:ascii="Tahoma" w:hAnsi="Tahoma" w:cs="Tahoma"/>
          <w:color w:val="auto"/>
          <w:sz w:val="20"/>
          <w:szCs w:val="20"/>
        </w:rPr>
        <w:t xml:space="preserve">przekonanie o wysokiej jakości swojej pracy: </w:t>
      </w:r>
      <w:r w:rsidR="00285E28">
        <w:rPr>
          <w:rFonts w:ascii="Tahoma" w:hAnsi="Tahoma" w:cs="Tahoma"/>
          <w:color w:val="auto"/>
          <w:sz w:val="20"/>
          <w:szCs w:val="20"/>
        </w:rPr>
        <w:t>na obie odpowiedzi</w:t>
      </w:r>
      <w:r w:rsidR="00457E27">
        <w:rPr>
          <w:rFonts w:ascii="Tahoma" w:hAnsi="Tahoma" w:cs="Tahoma"/>
          <w:color w:val="auto"/>
          <w:sz w:val="20"/>
          <w:szCs w:val="20"/>
        </w:rPr>
        <w:t xml:space="preserve"> </w:t>
      </w:r>
      <w:r w:rsidR="00285E28">
        <w:rPr>
          <w:rFonts w:ascii="Tahoma" w:hAnsi="Tahoma" w:cs="Tahoma"/>
          <w:color w:val="auto"/>
          <w:sz w:val="20"/>
          <w:szCs w:val="20"/>
        </w:rPr>
        <w:t xml:space="preserve">wskazało </w:t>
      </w:r>
      <w:r w:rsidR="00AC4A50">
        <w:rPr>
          <w:rFonts w:ascii="Tahoma" w:hAnsi="Tahoma" w:cs="Tahoma"/>
          <w:color w:val="auto"/>
          <w:sz w:val="20"/>
          <w:szCs w:val="20"/>
        </w:rPr>
        <w:t xml:space="preserve">po 66 proc. </w:t>
      </w:r>
      <w:r w:rsidR="00285E28">
        <w:rPr>
          <w:rFonts w:ascii="Tahoma" w:hAnsi="Tahoma" w:cs="Tahoma"/>
          <w:color w:val="auto"/>
          <w:sz w:val="20"/>
          <w:szCs w:val="20"/>
        </w:rPr>
        <w:t>ankietowanych</w:t>
      </w:r>
      <w:r w:rsidR="00AC4A50">
        <w:rPr>
          <w:rFonts w:ascii="Tahoma" w:hAnsi="Tahoma" w:cs="Tahoma"/>
          <w:color w:val="auto"/>
          <w:sz w:val="20"/>
          <w:szCs w:val="20"/>
        </w:rPr>
        <w:t>.</w:t>
      </w:r>
      <w:r w:rsidR="00556ECD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B4FF78A" w14:textId="77777777" w:rsidR="00615E74" w:rsidRDefault="00615E74" w:rsidP="00574E75">
      <w:pPr>
        <w:pStyle w:val="Default"/>
        <w:ind w:left="708"/>
        <w:rPr>
          <w:rFonts w:ascii="Tahoma" w:hAnsi="Tahoma" w:cs="Tahoma"/>
          <w:color w:val="auto"/>
          <w:sz w:val="20"/>
          <w:szCs w:val="20"/>
        </w:rPr>
      </w:pPr>
    </w:p>
    <w:p w14:paraId="45D87074" w14:textId="77777777" w:rsidR="00795C56" w:rsidRPr="00EA09B0" w:rsidRDefault="00615E74" w:rsidP="00EA09B0">
      <w:pPr>
        <w:pStyle w:val="Default"/>
        <w:ind w:left="708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826420">
        <w:rPr>
          <w:rFonts w:ascii="Tahoma" w:hAnsi="Tahoma" w:cs="Tahoma"/>
          <w:color w:val="000000" w:themeColor="text1"/>
          <w:sz w:val="20"/>
          <w:szCs w:val="20"/>
        </w:rPr>
        <w:t>–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To, </w:t>
      </w:r>
      <w:r w:rsidR="008817F3">
        <w:rPr>
          <w:rFonts w:ascii="Tahoma" w:hAnsi="Tahoma" w:cs="Tahoma"/>
          <w:i/>
          <w:iCs/>
          <w:color w:val="000000" w:themeColor="text1"/>
          <w:sz w:val="20"/>
          <w:szCs w:val="20"/>
        </w:rPr>
        <w:t>ż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e powyższe argumenty są </w:t>
      </w:r>
      <w:r w:rsidR="00E87347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obecnie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traktowane na równ</w:t>
      </w:r>
      <w:r w:rsidR="00F260AF">
        <w:rPr>
          <w:rFonts w:ascii="Tahoma" w:hAnsi="Tahoma" w:cs="Tahoma"/>
          <w:i/>
          <w:iCs/>
          <w:color w:val="000000" w:themeColor="text1"/>
          <w:sz w:val="20"/>
          <w:szCs w:val="20"/>
        </w:rPr>
        <w:t>i</w:t>
      </w:r>
      <w:r w:rsidR="00FB07D7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jako główne,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jest interesującą zmianą. </w:t>
      </w:r>
      <w:r w:rsidR="00C71C42">
        <w:rPr>
          <w:rFonts w:ascii="Tahoma" w:hAnsi="Tahoma" w:cs="Tahoma"/>
          <w:i/>
          <w:iCs/>
          <w:color w:val="000000" w:themeColor="text1"/>
          <w:sz w:val="20"/>
          <w:szCs w:val="20"/>
        </w:rPr>
        <w:t>W p</w:t>
      </w:r>
      <w:r w:rsidR="005C7424">
        <w:rPr>
          <w:rFonts w:ascii="Tahoma" w:hAnsi="Tahoma" w:cs="Tahoma"/>
          <w:i/>
          <w:iCs/>
          <w:color w:val="000000" w:themeColor="text1"/>
          <w:sz w:val="20"/>
          <w:szCs w:val="20"/>
        </w:rPr>
        <w:t>erspektywie</w:t>
      </w:r>
      <w:r w:rsidR="00EC6ECE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4017C6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ostatnich </w:t>
      </w:r>
      <w:r w:rsidR="00EC6ECE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lat,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to </w:t>
      </w:r>
      <w:r w:rsidR="00762467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gwałtownie </w:t>
      </w:r>
      <w:r w:rsidR="00070F21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rosnąca </w:t>
      </w:r>
      <w:r w:rsidRPr="001542D5">
        <w:rPr>
          <w:rFonts w:ascii="Tahoma" w:hAnsi="Tahoma" w:cs="Tahoma"/>
          <w:i/>
          <w:iCs/>
          <w:color w:val="000000" w:themeColor="text1"/>
          <w:sz w:val="20"/>
          <w:szCs w:val="20"/>
        </w:rPr>
        <w:t>inflacj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a była wymieniana zdecydowanie najczęściej.</w:t>
      </w:r>
      <w:r w:rsidR="00795C56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EC6ECE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Od kilku miesięcy inflacja wyhamowuje. </w:t>
      </w:r>
      <w:r w:rsidR="00486B7B">
        <w:rPr>
          <w:rFonts w:ascii="Tahoma" w:hAnsi="Tahoma" w:cs="Tahoma"/>
          <w:i/>
          <w:iCs/>
          <w:color w:val="000000" w:themeColor="text1"/>
          <w:sz w:val="20"/>
          <w:szCs w:val="20"/>
        </w:rPr>
        <w:t>Tymczasem a</w:t>
      </w:r>
      <w:r w:rsidR="00304822">
        <w:rPr>
          <w:rFonts w:ascii="Tahoma" w:hAnsi="Tahoma" w:cs="Tahoma"/>
          <w:i/>
          <w:iCs/>
          <w:color w:val="000000" w:themeColor="text1"/>
          <w:sz w:val="20"/>
          <w:szCs w:val="20"/>
        </w:rPr>
        <w:t>rgument o z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aangażowani</w:t>
      </w:r>
      <w:r w:rsidR="00304822">
        <w:rPr>
          <w:rFonts w:ascii="Tahoma" w:hAnsi="Tahoma" w:cs="Tahoma"/>
          <w:i/>
          <w:iCs/>
          <w:color w:val="000000" w:themeColor="text1"/>
          <w:sz w:val="20"/>
          <w:szCs w:val="20"/>
        </w:rPr>
        <w:t>u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FB07D7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w </w:t>
      </w:r>
      <w:r w:rsidR="002E0C2C">
        <w:rPr>
          <w:rFonts w:ascii="Tahoma" w:hAnsi="Tahoma" w:cs="Tahoma"/>
          <w:i/>
          <w:iCs/>
          <w:color w:val="000000" w:themeColor="text1"/>
          <w:sz w:val="20"/>
          <w:szCs w:val="20"/>
        </w:rPr>
        <w:t>obowiązki</w:t>
      </w:r>
      <w:r w:rsidR="00C328F9">
        <w:rPr>
          <w:rFonts w:ascii="Tahoma" w:hAnsi="Tahoma" w:cs="Tahoma"/>
          <w:i/>
          <w:iCs/>
          <w:color w:val="000000" w:themeColor="text1"/>
          <w:sz w:val="20"/>
          <w:szCs w:val="20"/>
        </w:rPr>
        <w:t>,</w:t>
      </w:r>
      <w:r w:rsidR="002E0C2C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F031A7">
        <w:rPr>
          <w:rFonts w:ascii="Tahoma" w:hAnsi="Tahoma" w:cs="Tahoma"/>
          <w:i/>
          <w:iCs/>
          <w:color w:val="000000" w:themeColor="text1"/>
          <w:sz w:val="20"/>
          <w:szCs w:val="20"/>
        </w:rPr>
        <w:t>od poprzednie</w:t>
      </w:r>
      <w:r w:rsidR="00DD1C22">
        <w:rPr>
          <w:rFonts w:ascii="Tahoma" w:hAnsi="Tahoma" w:cs="Tahoma"/>
          <w:i/>
          <w:iCs/>
          <w:color w:val="000000" w:themeColor="text1"/>
          <w:sz w:val="20"/>
          <w:szCs w:val="20"/>
        </w:rPr>
        <w:t>go</w:t>
      </w:r>
      <w:r w:rsidR="00F031A7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F62B2F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roku </w:t>
      </w:r>
      <w:r w:rsidR="00FB07D7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zanotował </w:t>
      </w:r>
      <w:r w:rsidR="0018037D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w badaniu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aż 1</w:t>
      </w:r>
      <w:r w:rsidR="003B5CFB">
        <w:rPr>
          <w:rFonts w:ascii="Tahoma" w:hAnsi="Tahoma" w:cs="Tahoma"/>
          <w:i/>
          <w:iCs/>
          <w:color w:val="000000" w:themeColor="text1"/>
          <w:sz w:val="20"/>
          <w:szCs w:val="20"/>
        </w:rPr>
        <w:t>5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-punktowy </w:t>
      </w:r>
      <w:r w:rsidR="00F031A7">
        <w:rPr>
          <w:rFonts w:ascii="Tahoma" w:hAnsi="Tahoma" w:cs="Tahoma"/>
          <w:i/>
          <w:iCs/>
          <w:color w:val="000000" w:themeColor="text1"/>
          <w:sz w:val="20"/>
          <w:szCs w:val="20"/>
        </w:rPr>
        <w:t>skok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. To może być sygnał, że pracownicy </w:t>
      </w:r>
      <w:r w:rsidR="00B75014">
        <w:rPr>
          <w:rFonts w:ascii="Tahoma" w:hAnsi="Tahoma" w:cs="Tahoma"/>
          <w:i/>
          <w:iCs/>
          <w:color w:val="000000" w:themeColor="text1"/>
          <w:sz w:val="20"/>
          <w:szCs w:val="20"/>
        </w:rPr>
        <w:t>w</w:t>
      </w:r>
      <w:r w:rsidR="0018037D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łaśnie w nim </w:t>
      </w:r>
      <w:r w:rsidR="002F5EBC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dostrzegają teraz </w:t>
      </w:r>
      <w:r w:rsidR="00B75014">
        <w:rPr>
          <w:rFonts w:ascii="Tahoma" w:hAnsi="Tahoma" w:cs="Tahoma"/>
          <w:i/>
          <w:iCs/>
          <w:color w:val="000000" w:themeColor="text1"/>
          <w:sz w:val="20"/>
          <w:szCs w:val="20"/>
        </w:rPr>
        <w:t>większą skuteczność</w:t>
      </w:r>
      <w:r w:rsidR="00795C56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podczas negocjacji płacowych. Inflacja dotyczy wszak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795C56">
        <w:rPr>
          <w:rFonts w:ascii="Tahoma" w:hAnsi="Tahoma" w:cs="Tahoma"/>
          <w:i/>
          <w:iCs/>
          <w:color w:val="000000" w:themeColor="text1"/>
          <w:sz w:val="20"/>
          <w:szCs w:val="20"/>
        </w:rPr>
        <w:t>także pracodawców.</w:t>
      </w:r>
      <w:r w:rsidR="00EA09B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6641D6">
        <w:rPr>
          <w:rFonts w:ascii="Tahoma" w:hAnsi="Tahoma" w:cs="Tahoma"/>
          <w:i/>
          <w:iCs/>
          <w:color w:val="000000" w:themeColor="text1"/>
          <w:sz w:val="20"/>
          <w:szCs w:val="20"/>
        </w:rPr>
        <w:t>Pracownicy s</w:t>
      </w:r>
      <w:r w:rsidR="00C328F9">
        <w:rPr>
          <w:rFonts w:ascii="Tahoma" w:hAnsi="Tahoma" w:cs="Tahoma"/>
          <w:i/>
          <w:iCs/>
          <w:color w:val="000000" w:themeColor="text1"/>
          <w:sz w:val="20"/>
          <w:szCs w:val="20"/>
        </w:rPr>
        <w:t>tawiają więc na</w:t>
      </w:r>
      <w:r w:rsidR="000B608E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2F6DD5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podkreślenie </w:t>
      </w:r>
      <w:r w:rsidR="00C328F9">
        <w:rPr>
          <w:rFonts w:ascii="Tahoma" w:hAnsi="Tahoma" w:cs="Tahoma"/>
          <w:i/>
          <w:iCs/>
          <w:color w:val="000000" w:themeColor="text1"/>
          <w:sz w:val="20"/>
          <w:szCs w:val="20"/>
        </w:rPr>
        <w:t>swoic</w:t>
      </w:r>
      <w:r w:rsidR="00D15902">
        <w:rPr>
          <w:rFonts w:ascii="Tahoma" w:hAnsi="Tahoma" w:cs="Tahoma"/>
          <w:i/>
          <w:iCs/>
          <w:color w:val="000000" w:themeColor="text1"/>
          <w:sz w:val="20"/>
          <w:szCs w:val="20"/>
        </w:rPr>
        <w:t>h</w:t>
      </w:r>
      <w:r w:rsidR="00C328F9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C86BF5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kompetencji, </w:t>
      </w:r>
      <w:r w:rsidR="00795C56">
        <w:rPr>
          <w:rFonts w:ascii="Tahoma" w:hAnsi="Tahoma" w:cs="Tahoma"/>
          <w:i/>
          <w:iCs/>
          <w:color w:val="000000" w:themeColor="text1"/>
          <w:sz w:val="20"/>
          <w:szCs w:val="20"/>
        </w:rPr>
        <w:t>indywidualnego wkładu w rozwój firmy</w:t>
      </w:r>
      <w:r w:rsidR="00C86BF5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, </w:t>
      </w:r>
      <w:r w:rsidR="006643FE">
        <w:rPr>
          <w:rFonts w:ascii="Tahoma" w:hAnsi="Tahoma" w:cs="Tahoma"/>
          <w:i/>
          <w:iCs/>
          <w:color w:val="000000" w:themeColor="text1"/>
          <w:sz w:val="20"/>
          <w:szCs w:val="20"/>
        </w:rPr>
        <w:t>bo</w:t>
      </w:r>
      <w:r w:rsidR="00680303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to stanowi </w:t>
      </w:r>
      <w:r w:rsidR="00C86BF5">
        <w:rPr>
          <w:rFonts w:ascii="Tahoma" w:hAnsi="Tahoma" w:cs="Tahoma"/>
          <w:i/>
          <w:iCs/>
          <w:color w:val="000000" w:themeColor="text1"/>
          <w:sz w:val="20"/>
          <w:szCs w:val="20"/>
        </w:rPr>
        <w:t>wymierną wartoś</w:t>
      </w:r>
      <w:r w:rsidR="00680303">
        <w:rPr>
          <w:rFonts w:ascii="Tahoma" w:hAnsi="Tahoma" w:cs="Tahoma"/>
          <w:i/>
          <w:iCs/>
          <w:color w:val="000000" w:themeColor="text1"/>
          <w:sz w:val="20"/>
          <w:szCs w:val="20"/>
        </w:rPr>
        <w:t>ć</w:t>
      </w:r>
      <w:r w:rsidR="00C86BF5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dla </w:t>
      </w:r>
      <w:r w:rsidR="00D15902">
        <w:rPr>
          <w:rFonts w:ascii="Tahoma" w:hAnsi="Tahoma" w:cs="Tahoma"/>
          <w:i/>
          <w:iCs/>
          <w:color w:val="000000" w:themeColor="text1"/>
          <w:sz w:val="20"/>
          <w:szCs w:val="20"/>
        </w:rPr>
        <w:t>pr</w:t>
      </w:r>
      <w:r w:rsidR="00C62CCD">
        <w:rPr>
          <w:rFonts w:ascii="Tahoma" w:hAnsi="Tahoma" w:cs="Tahoma"/>
          <w:i/>
          <w:iCs/>
          <w:color w:val="000000" w:themeColor="text1"/>
          <w:sz w:val="20"/>
          <w:szCs w:val="20"/>
        </w:rPr>
        <w:t>zedsiębiorstw</w:t>
      </w:r>
      <w:r w:rsidR="00F7742B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795C56" w:rsidRPr="00826420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795C56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795C56">
        <w:rPr>
          <w:rFonts w:ascii="Tahoma" w:hAnsi="Tahoma" w:cs="Tahoma"/>
          <w:color w:val="000000" w:themeColor="text1"/>
          <w:sz w:val="20"/>
          <w:szCs w:val="20"/>
        </w:rPr>
        <w:t xml:space="preserve">mówi </w:t>
      </w:r>
      <w:r w:rsidR="006A5330">
        <w:rPr>
          <w:rFonts w:ascii="Tahoma" w:hAnsi="Tahoma" w:cs="Tahoma"/>
          <w:b/>
          <w:color w:val="000000" w:themeColor="text1"/>
          <w:sz w:val="20"/>
          <w:szCs w:val="20"/>
        </w:rPr>
        <w:t xml:space="preserve">Monika </w:t>
      </w:r>
      <w:proofErr w:type="spellStart"/>
      <w:r w:rsidR="006A5330">
        <w:rPr>
          <w:rFonts w:ascii="Tahoma" w:hAnsi="Tahoma" w:cs="Tahoma"/>
          <w:b/>
          <w:color w:val="000000" w:themeColor="text1"/>
          <w:sz w:val="20"/>
          <w:szCs w:val="20"/>
        </w:rPr>
        <w:t>Hryniszyn</w:t>
      </w:r>
      <w:proofErr w:type="spellEnd"/>
      <w:r w:rsidR="00795C56">
        <w:rPr>
          <w:rFonts w:ascii="Tahoma" w:hAnsi="Tahoma" w:cs="Tahoma"/>
          <w:color w:val="000000" w:themeColor="text1"/>
          <w:sz w:val="20"/>
          <w:szCs w:val="20"/>
        </w:rPr>
        <w:t>,</w:t>
      </w:r>
      <w:r w:rsidR="006A5330" w:rsidRPr="006A5330">
        <w:t xml:space="preserve"> </w:t>
      </w:r>
      <w:proofErr w:type="spellStart"/>
      <w:r w:rsidR="006A5330" w:rsidRPr="006A5330">
        <w:rPr>
          <w:rFonts w:ascii="Tahoma" w:hAnsi="Tahoma" w:cs="Tahoma"/>
          <w:color w:val="000000" w:themeColor="text1"/>
          <w:sz w:val="20"/>
          <w:szCs w:val="20"/>
        </w:rPr>
        <w:t>Regional</w:t>
      </w:r>
      <w:proofErr w:type="spellEnd"/>
      <w:r w:rsidR="006A5330" w:rsidRPr="006A5330">
        <w:rPr>
          <w:rFonts w:ascii="Tahoma" w:hAnsi="Tahoma" w:cs="Tahoma"/>
          <w:color w:val="000000" w:themeColor="text1"/>
          <w:sz w:val="20"/>
          <w:szCs w:val="20"/>
        </w:rPr>
        <w:t xml:space="preserve"> HR leader </w:t>
      </w:r>
      <w:proofErr w:type="spellStart"/>
      <w:r w:rsidR="006A5330" w:rsidRPr="006A5330">
        <w:rPr>
          <w:rFonts w:ascii="Tahoma" w:hAnsi="Tahoma" w:cs="Tahoma"/>
          <w:color w:val="000000" w:themeColor="text1"/>
          <w:sz w:val="20"/>
          <w:szCs w:val="20"/>
        </w:rPr>
        <w:t>Northern</w:t>
      </w:r>
      <w:proofErr w:type="spellEnd"/>
      <w:r w:rsidR="006A5330" w:rsidRPr="006A5330">
        <w:rPr>
          <w:rFonts w:ascii="Tahoma" w:hAnsi="Tahoma" w:cs="Tahoma"/>
          <w:color w:val="000000" w:themeColor="text1"/>
          <w:sz w:val="20"/>
          <w:szCs w:val="20"/>
        </w:rPr>
        <w:t xml:space="preserve"> Europe &amp; Global Talent</w:t>
      </w:r>
      <w:r w:rsidR="006A5330">
        <w:rPr>
          <w:rFonts w:ascii="Tahoma" w:hAnsi="Tahoma" w:cs="Tahoma"/>
          <w:color w:val="000000" w:themeColor="text1"/>
          <w:sz w:val="20"/>
          <w:szCs w:val="20"/>
        </w:rPr>
        <w:t xml:space="preserve"> w</w:t>
      </w:r>
      <w:r w:rsidR="00795C5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795C56">
        <w:rPr>
          <w:rFonts w:ascii="Tahoma" w:hAnsi="Tahoma" w:cs="Tahoma"/>
          <w:color w:val="000000" w:themeColor="text1"/>
          <w:sz w:val="20"/>
          <w:szCs w:val="20"/>
        </w:rPr>
        <w:t>Randstad</w:t>
      </w:r>
      <w:proofErr w:type="spellEnd"/>
      <w:r w:rsidR="008B7DF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B5EEDC8" w14:textId="77777777" w:rsidR="001542D5" w:rsidRDefault="001542D5" w:rsidP="004E0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23D4CAC1" w14:textId="77777777" w:rsidR="001542D5" w:rsidRDefault="003113C6" w:rsidP="00826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Spośród przedstawicieli </w:t>
      </w:r>
      <w:r w:rsidR="005A71B3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poszczególnych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zawodów, n</w:t>
      </w:r>
      <w:r w:rsidR="004C6567">
        <w:rPr>
          <w:rFonts w:ascii="Tahoma" w:hAnsi="Tahoma" w:cs="Tahoma"/>
          <w:color w:val="000000" w:themeColor="text1"/>
          <w:sz w:val="20"/>
          <w:szCs w:val="20"/>
          <w:lang w:val="pl-PL"/>
        </w:rPr>
        <w:t>ajbardziej optymistycznie na możliwość uzyskania podwyżki patrzą inżynierowie (76 proc.)</w:t>
      </w:r>
      <w:r w:rsidR="00117FE0">
        <w:rPr>
          <w:rFonts w:ascii="Tahoma" w:hAnsi="Tahoma" w:cs="Tahoma"/>
          <w:color w:val="000000" w:themeColor="text1"/>
          <w:sz w:val="20"/>
          <w:szCs w:val="20"/>
          <w:lang w:val="pl-PL"/>
        </w:rPr>
        <w:t>, zaś n</w:t>
      </w:r>
      <w:r w:rsidR="004C656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ajmniejsze szanse widzą kierowcy, choć i tak nadal jest to 50 proc. respondentów z tej grupy. Patrząc przez pryzmat </w:t>
      </w:r>
      <w:r w:rsidR="0020780B">
        <w:rPr>
          <w:rFonts w:ascii="Tahoma" w:hAnsi="Tahoma" w:cs="Tahoma"/>
          <w:color w:val="000000" w:themeColor="text1"/>
          <w:sz w:val="20"/>
          <w:szCs w:val="20"/>
          <w:lang w:val="pl-PL"/>
        </w:rPr>
        <w:t>branż</w:t>
      </w:r>
      <w:r w:rsidR="003A2B5A">
        <w:rPr>
          <w:rFonts w:ascii="Tahoma" w:hAnsi="Tahoma" w:cs="Tahoma"/>
          <w:color w:val="000000" w:themeColor="text1"/>
          <w:sz w:val="20"/>
          <w:szCs w:val="20"/>
          <w:lang w:val="pl-PL"/>
        </w:rPr>
        <w:t>,</w:t>
      </w:r>
      <w:r w:rsidR="002078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podwyż</w:t>
      </w:r>
      <w:r w:rsidR="003A2B5A">
        <w:rPr>
          <w:rFonts w:ascii="Tahoma" w:hAnsi="Tahoma" w:cs="Tahoma"/>
          <w:color w:val="000000" w:themeColor="text1"/>
          <w:sz w:val="20"/>
          <w:szCs w:val="20"/>
          <w:lang w:val="pl-PL"/>
        </w:rPr>
        <w:t>ek</w:t>
      </w:r>
      <w:r w:rsidR="002078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3A2B5A">
        <w:rPr>
          <w:rFonts w:ascii="Tahoma" w:hAnsi="Tahoma" w:cs="Tahoma"/>
          <w:color w:val="000000" w:themeColor="text1"/>
          <w:sz w:val="20"/>
          <w:szCs w:val="20"/>
          <w:lang w:val="pl-PL"/>
        </w:rPr>
        <w:t>spodziewa</w:t>
      </w:r>
      <w:r w:rsidR="0001210B">
        <w:rPr>
          <w:rFonts w:ascii="Tahoma" w:hAnsi="Tahoma" w:cs="Tahoma"/>
          <w:color w:val="000000" w:themeColor="text1"/>
          <w:sz w:val="20"/>
          <w:szCs w:val="20"/>
          <w:lang w:val="pl-PL"/>
        </w:rPr>
        <w:t>ją</w:t>
      </w:r>
      <w:r w:rsidR="003A2B5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się najczęściej </w:t>
      </w:r>
      <w:r w:rsidR="000121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pracownicy </w:t>
      </w:r>
      <w:r w:rsidR="0020780B">
        <w:rPr>
          <w:rFonts w:ascii="Tahoma" w:hAnsi="Tahoma" w:cs="Tahoma"/>
          <w:color w:val="000000" w:themeColor="text1"/>
          <w:sz w:val="20"/>
          <w:szCs w:val="20"/>
          <w:lang w:val="pl-PL"/>
        </w:rPr>
        <w:t>ochron</w:t>
      </w:r>
      <w:r w:rsidR="0001210B">
        <w:rPr>
          <w:rFonts w:ascii="Tahoma" w:hAnsi="Tahoma" w:cs="Tahoma"/>
          <w:color w:val="000000" w:themeColor="text1"/>
          <w:sz w:val="20"/>
          <w:szCs w:val="20"/>
          <w:lang w:val="pl-PL"/>
        </w:rPr>
        <w:t>y</w:t>
      </w:r>
      <w:r w:rsidR="002078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(77 proc.) oraz edukacj</w:t>
      </w:r>
      <w:r w:rsidR="0001210B">
        <w:rPr>
          <w:rFonts w:ascii="Tahoma" w:hAnsi="Tahoma" w:cs="Tahoma"/>
          <w:color w:val="000000" w:themeColor="text1"/>
          <w:sz w:val="20"/>
          <w:szCs w:val="20"/>
          <w:lang w:val="pl-PL"/>
        </w:rPr>
        <w:t>i</w:t>
      </w:r>
      <w:r w:rsidR="002078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(70 proc.).</w:t>
      </w:r>
    </w:p>
    <w:p w14:paraId="35731153" w14:textId="77777777" w:rsidR="004E091C" w:rsidRDefault="004E091C" w:rsidP="00826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1A6C745F" w14:textId="77777777" w:rsidR="004E091C" w:rsidRDefault="004E091C" w:rsidP="004E091C">
      <w:pPr>
        <w:pStyle w:val="Default"/>
        <w:ind w:left="708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Wśród osób, które nie będą starać </w:t>
      </w:r>
      <w:r w:rsidR="0001210B">
        <w:rPr>
          <w:rFonts w:ascii="Tahoma" w:hAnsi="Tahoma" w:cs="Tahoma"/>
          <w:color w:val="auto"/>
          <w:sz w:val="20"/>
          <w:szCs w:val="20"/>
        </w:rPr>
        <w:t xml:space="preserve">się </w:t>
      </w:r>
      <w:r>
        <w:rPr>
          <w:rFonts w:ascii="Tahoma" w:hAnsi="Tahoma" w:cs="Tahoma"/>
          <w:color w:val="auto"/>
          <w:sz w:val="20"/>
          <w:szCs w:val="20"/>
        </w:rPr>
        <w:t>o wzrost płacy, niemal co trzecia obawia się, że nie zostałoby to dobrze odebrane przez pracodawcę i ta obawa jest zauważalnie silniejsza niż w zeszłym roku (28 proc. vs. 21 proc.). Przybyło także osób, które unikają rozmów o podwyżkach, bo czują się z tym niekomfortowo (24 proc. obecnie vs. 19 proc. wcześniej).</w:t>
      </w:r>
    </w:p>
    <w:p w14:paraId="4DB92479" w14:textId="77777777" w:rsidR="004C6567" w:rsidRDefault="004C6567" w:rsidP="00826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52B90621" w14:textId="77777777" w:rsidR="001542D5" w:rsidRPr="00852792" w:rsidRDefault="001542D5" w:rsidP="00852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i/>
          <w:iCs/>
          <w:color w:val="000000" w:themeColor="text1"/>
          <w:sz w:val="20"/>
          <w:szCs w:val="20"/>
          <w:lang w:val="pl-PL"/>
        </w:rPr>
      </w:pPr>
    </w:p>
    <w:p w14:paraId="1F2D0777" w14:textId="77777777" w:rsidR="00A73B09" w:rsidRDefault="00DE7D08" w:rsidP="001966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Tahoma" w:hAnsi="Tahoma" w:cs="Tahoma"/>
          <w:b/>
          <w:bCs/>
          <w:color w:val="2E74B5" w:themeColor="accent5" w:themeShade="BF"/>
          <w:sz w:val="20"/>
          <w:szCs w:val="20"/>
          <w:lang w:val="pl-PL"/>
        </w:rPr>
      </w:pPr>
      <w:r>
        <w:rPr>
          <w:rFonts w:ascii="Tahoma" w:hAnsi="Tahoma" w:cs="Tahoma"/>
          <w:b/>
          <w:bCs/>
          <w:color w:val="2E74B5" w:themeColor="accent5" w:themeShade="BF"/>
          <w:sz w:val="20"/>
          <w:szCs w:val="20"/>
          <w:lang w:val="pl-PL"/>
        </w:rPr>
        <w:t>Czy zeszłoroczne podwyżki były zadowalaj</w:t>
      </w:r>
      <w:r w:rsidR="00706CFE">
        <w:rPr>
          <w:rFonts w:ascii="Tahoma" w:hAnsi="Tahoma" w:cs="Tahoma"/>
          <w:b/>
          <w:bCs/>
          <w:color w:val="2E74B5" w:themeColor="accent5" w:themeShade="BF"/>
          <w:sz w:val="20"/>
          <w:szCs w:val="20"/>
          <w:lang w:val="pl-PL"/>
        </w:rPr>
        <w:t>ą</w:t>
      </w:r>
      <w:r>
        <w:rPr>
          <w:rFonts w:ascii="Tahoma" w:hAnsi="Tahoma" w:cs="Tahoma"/>
          <w:b/>
          <w:bCs/>
          <w:color w:val="2E74B5" w:themeColor="accent5" w:themeShade="BF"/>
          <w:sz w:val="20"/>
          <w:szCs w:val="20"/>
          <w:lang w:val="pl-PL"/>
        </w:rPr>
        <w:t>ce?</w:t>
      </w:r>
    </w:p>
    <w:p w14:paraId="1D843427" w14:textId="77777777" w:rsidR="005F1EBE" w:rsidRDefault="005F1EBE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2E74B5" w:themeColor="accent5" w:themeShade="BF"/>
          <w:sz w:val="20"/>
          <w:szCs w:val="20"/>
          <w:lang w:val="pl-PL"/>
        </w:rPr>
      </w:pPr>
    </w:p>
    <w:p w14:paraId="73D1806D" w14:textId="77777777" w:rsidR="005F1EBE" w:rsidRDefault="005F1EBE" w:rsidP="005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F1EBE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W 2023 roku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58 proc. zatrudnionych otrzymało podwyżki.</w:t>
      </w:r>
      <w:r w:rsidR="00706CFE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Tu również obserwujemy trend konsekwentnego wzrostu (54 proc. w 2022 </w:t>
      </w:r>
      <w:r w:rsidR="005576BD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r. 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oraz 45 proc. w 2021 r.). Częściej w tej grupie znaleźli się mężczyźni niż kobiety (62 proc. vs 53 proc.).</w:t>
      </w:r>
      <w:r w:rsidR="00BF1D3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</w:p>
    <w:p w14:paraId="4738C1A5" w14:textId="77777777" w:rsidR="00BF1D35" w:rsidRDefault="00BF1D35" w:rsidP="005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6769AE15" w14:textId="77777777" w:rsidR="00BF1D35" w:rsidRDefault="005576BD" w:rsidP="005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Wśród analizowanych </w:t>
      </w:r>
      <w:r w:rsidR="00BF1D35">
        <w:rPr>
          <w:rFonts w:ascii="Tahoma" w:hAnsi="Tahoma" w:cs="Tahoma"/>
          <w:color w:val="000000" w:themeColor="text1"/>
          <w:sz w:val="20"/>
          <w:szCs w:val="20"/>
          <w:lang w:val="pl-PL"/>
        </w:rPr>
        <w:t>branż</w:t>
      </w:r>
      <w:r w:rsidR="00006EF5">
        <w:rPr>
          <w:rFonts w:ascii="Tahoma" w:hAnsi="Tahoma" w:cs="Tahoma"/>
          <w:color w:val="000000" w:themeColor="text1"/>
          <w:sz w:val="20"/>
          <w:szCs w:val="20"/>
          <w:lang w:val="pl-PL"/>
        </w:rPr>
        <w:t>,</w:t>
      </w:r>
      <w:r w:rsidR="00BF1D3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najczęściej rosło uposażenie w administracji publicznej (75 proc.), a jeśli chodzi o stanowiska</w:t>
      </w:r>
      <w:r w:rsidR="0083030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830305" w:rsidRPr="00826420">
        <w:rPr>
          <w:rFonts w:ascii="Tahoma" w:hAnsi="Tahoma" w:cs="Tahoma"/>
          <w:color w:val="000000" w:themeColor="text1"/>
          <w:sz w:val="20"/>
          <w:szCs w:val="20"/>
          <w:lang w:val="pl-PL"/>
        </w:rPr>
        <w:t>–</w:t>
      </w:r>
      <w:r w:rsidR="0083030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w przypadku </w:t>
      </w:r>
      <w:r w:rsidR="003C1837">
        <w:rPr>
          <w:rFonts w:ascii="Tahoma" w:hAnsi="Tahoma" w:cs="Tahoma"/>
          <w:color w:val="000000" w:themeColor="text1"/>
          <w:sz w:val="20"/>
          <w:szCs w:val="20"/>
          <w:lang w:val="pl-PL"/>
        </w:rPr>
        <w:t>przedstawiciel</w:t>
      </w:r>
      <w:r w:rsidR="00830305">
        <w:rPr>
          <w:rFonts w:ascii="Tahoma" w:hAnsi="Tahoma" w:cs="Tahoma"/>
          <w:color w:val="000000" w:themeColor="text1"/>
          <w:sz w:val="20"/>
          <w:szCs w:val="20"/>
          <w:lang w:val="pl-PL"/>
        </w:rPr>
        <w:t>i</w:t>
      </w:r>
      <w:r w:rsidR="003C183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BF1D35">
        <w:rPr>
          <w:rFonts w:ascii="Tahoma" w:hAnsi="Tahoma" w:cs="Tahoma"/>
          <w:color w:val="000000" w:themeColor="text1"/>
          <w:sz w:val="20"/>
          <w:szCs w:val="20"/>
          <w:lang w:val="pl-PL"/>
        </w:rPr>
        <w:t>kadry kierowniczej średniego szczebla</w:t>
      </w:r>
      <w:r w:rsidR="00891BAD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(69 proc.).</w:t>
      </w:r>
    </w:p>
    <w:p w14:paraId="5C483EFB" w14:textId="77777777" w:rsidR="00B9617D" w:rsidRDefault="00B9617D" w:rsidP="005F1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5AA51DD7" w14:textId="77777777" w:rsidR="008A0863" w:rsidRPr="00A94874" w:rsidRDefault="00AE3B4E" w:rsidP="00A94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P</w:t>
      </w:r>
      <w:r w:rsidR="00D26A8B">
        <w:rPr>
          <w:rFonts w:ascii="Tahoma" w:hAnsi="Tahoma" w:cs="Tahoma"/>
          <w:color w:val="000000" w:themeColor="text1"/>
          <w:sz w:val="20"/>
          <w:szCs w:val="20"/>
          <w:lang w:val="pl-PL"/>
        </w:rPr>
        <w:t>ensje</w:t>
      </w:r>
      <w:r w:rsidR="00797FE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D26A8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rosły </w:t>
      </w:r>
      <w:r w:rsidR="007725B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przeważnie </w:t>
      </w:r>
      <w:r w:rsidR="00D26A8B">
        <w:rPr>
          <w:rFonts w:ascii="Tahoma" w:hAnsi="Tahoma" w:cs="Tahoma"/>
          <w:color w:val="000000" w:themeColor="text1"/>
          <w:sz w:val="20"/>
          <w:szCs w:val="20"/>
          <w:lang w:val="pl-PL"/>
        </w:rPr>
        <w:t>o 5-</w:t>
      </w:r>
      <w:r w:rsidR="009D5485">
        <w:rPr>
          <w:rFonts w:ascii="Tahoma" w:hAnsi="Tahoma" w:cs="Tahoma"/>
          <w:color w:val="000000" w:themeColor="text1"/>
          <w:sz w:val="20"/>
          <w:szCs w:val="20"/>
          <w:lang w:val="pl-PL"/>
        </w:rPr>
        <w:t>9</w:t>
      </w:r>
      <w:r w:rsidR="00D26A8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proc. </w:t>
      </w:r>
      <w:r w:rsidR="00D26A8B" w:rsidRPr="00826420">
        <w:rPr>
          <w:rFonts w:ascii="Tahoma" w:hAnsi="Tahoma" w:cs="Tahoma"/>
          <w:color w:val="000000" w:themeColor="text1"/>
          <w:sz w:val="20"/>
          <w:szCs w:val="20"/>
          <w:lang w:val="pl-PL"/>
        </w:rPr>
        <w:t>–</w:t>
      </w:r>
      <w:r w:rsidR="003B0E60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tak było w przypadku 42 proc. </w:t>
      </w:r>
      <w:r w:rsidR="00751F19">
        <w:rPr>
          <w:rFonts w:ascii="Tahoma" w:hAnsi="Tahoma" w:cs="Tahoma"/>
          <w:color w:val="000000" w:themeColor="text1"/>
          <w:sz w:val="20"/>
          <w:szCs w:val="20"/>
          <w:lang w:val="pl-PL"/>
        </w:rPr>
        <w:t>ankietowanych</w:t>
      </w:r>
      <w:r w:rsidR="003B0E60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266CE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W ujęciu rok do roku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, </w:t>
      </w:r>
      <w:r w:rsidR="00DE2049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przybyło osób, </w:t>
      </w:r>
      <w:r w:rsidR="00B9617D">
        <w:rPr>
          <w:rFonts w:ascii="Tahoma" w:hAnsi="Tahoma" w:cs="Tahoma"/>
          <w:color w:val="000000" w:themeColor="text1"/>
          <w:sz w:val="20"/>
          <w:szCs w:val="20"/>
          <w:lang w:val="pl-PL"/>
        </w:rPr>
        <w:t>któr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ych </w:t>
      </w:r>
      <w:r w:rsidR="00E3767D">
        <w:rPr>
          <w:rFonts w:ascii="Tahoma" w:hAnsi="Tahoma" w:cs="Tahoma"/>
          <w:color w:val="000000" w:themeColor="text1"/>
          <w:sz w:val="20"/>
          <w:szCs w:val="20"/>
          <w:lang w:val="pl-PL"/>
        </w:rPr>
        <w:t>wynagrodzenia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wzrosły od </w:t>
      </w:r>
      <w:r w:rsidR="00B9617D">
        <w:rPr>
          <w:rFonts w:ascii="Tahoma" w:hAnsi="Tahoma" w:cs="Tahoma"/>
          <w:color w:val="000000" w:themeColor="text1"/>
          <w:sz w:val="20"/>
          <w:szCs w:val="20"/>
          <w:lang w:val="pl-PL"/>
        </w:rPr>
        <w:t>10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do </w:t>
      </w:r>
      <w:r w:rsidR="00B9617D">
        <w:rPr>
          <w:rFonts w:ascii="Tahoma" w:hAnsi="Tahoma" w:cs="Tahoma"/>
          <w:color w:val="000000" w:themeColor="text1"/>
          <w:sz w:val="20"/>
          <w:szCs w:val="20"/>
          <w:lang w:val="pl-PL"/>
        </w:rPr>
        <w:t>19 proc.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3005CA" w:rsidRPr="00826420">
        <w:rPr>
          <w:rFonts w:ascii="Tahoma" w:hAnsi="Tahoma" w:cs="Tahoma"/>
          <w:color w:val="000000" w:themeColor="text1"/>
          <w:sz w:val="20"/>
          <w:szCs w:val="20"/>
          <w:lang w:val="pl-PL"/>
        </w:rPr>
        <w:t>–</w:t>
      </w:r>
      <w:r w:rsidR="00F04EE2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w 2023 r. był </w:t>
      </w:r>
      <w:r w:rsidR="00B9617D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to już 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>niema</w:t>
      </w:r>
      <w:r w:rsidR="00B9617D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l 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>c</w:t>
      </w:r>
      <w:r w:rsidR="00B9617D">
        <w:rPr>
          <w:rFonts w:ascii="Tahoma" w:hAnsi="Tahoma" w:cs="Tahoma"/>
          <w:color w:val="000000" w:themeColor="text1"/>
          <w:sz w:val="20"/>
          <w:szCs w:val="20"/>
          <w:lang w:val="pl-PL"/>
        </w:rPr>
        <w:t>o czwarty p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>ra</w:t>
      </w:r>
      <w:r w:rsidR="00B9617D">
        <w:rPr>
          <w:rFonts w:ascii="Tahoma" w:hAnsi="Tahoma" w:cs="Tahoma"/>
          <w:color w:val="000000" w:themeColor="text1"/>
          <w:sz w:val="20"/>
          <w:szCs w:val="20"/>
          <w:lang w:val="pl-PL"/>
        </w:rPr>
        <w:t>cownik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(24 proc.), podczas gdy w </w:t>
      </w:r>
      <w:r w:rsidR="00F04EE2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2022 r. co piąty </w:t>
      </w:r>
      <w:r w:rsidR="003005CA">
        <w:rPr>
          <w:rFonts w:ascii="Tahoma" w:hAnsi="Tahoma" w:cs="Tahoma"/>
          <w:color w:val="000000" w:themeColor="text1"/>
          <w:sz w:val="20"/>
          <w:szCs w:val="20"/>
          <w:lang w:val="pl-PL"/>
        </w:rPr>
        <w:t>(20 proc.).</w:t>
      </w:r>
      <w:r w:rsidR="006A535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Podwy</w:t>
      </w:r>
      <w:r w:rsidR="00F04EE2">
        <w:rPr>
          <w:rFonts w:ascii="Tahoma" w:hAnsi="Tahoma" w:cs="Tahoma"/>
          <w:color w:val="000000" w:themeColor="text1"/>
          <w:sz w:val="20"/>
          <w:szCs w:val="20"/>
          <w:lang w:val="pl-PL"/>
        </w:rPr>
        <w:t>ż</w:t>
      </w:r>
      <w:r w:rsidR="006A535A">
        <w:rPr>
          <w:rFonts w:ascii="Tahoma" w:hAnsi="Tahoma" w:cs="Tahoma"/>
          <w:color w:val="000000" w:themeColor="text1"/>
          <w:sz w:val="20"/>
          <w:szCs w:val="20"/>
          <w:lang w:val="pl-PL"/>
        </w:rPr>
        <w:t>kę</w:t>
      </w:r>
      <w:r w:rsidR="00D777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mniejszą niż 5 proc. otrzymało </w:t>
      </w:r>
      <w:r w:rsidR="00006EF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w ubiegłym roku </w:t>
      </w:r>
      <w:r w:rsidR="00D7770B">
        <w:rPr>
          <w:rFonts w:ascii="Tahoma" w:hAnsi="Tahoma" w:cs="Tahoma"/>
          <w:color w:val="000000" w:themeColor="text1"/>
          <w:sz w:val="20"/>
          <w:szCs w:val="20"/>
          <w:lang w:val="pl-PL"/>
        </w:rPr>
        <w:t>20 proc. pracowników, a podwyżk</w:t>
      </w:r>
      <w:r w:rsidR="004A1085">
        <w:rPr>
          <w:rFonts w:ascii="Tahoma" w:hAnsi="Tahoma" w:cs="Tahoma"/>
          <w:color w:val="000000" w:themeColor="text1"/>
          <w:sz w:val="20"/>
          <w:szCs w:val="20"/>
          <w:lang w:val="pl-PL"/>
        </w:rPr>
        <w:t>a</w:t>
      </w:r>
      <w:r w:rsidR="00D777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rzędu 20 proc. i więcej nadal należała do rzadkości i dotyczyła 6 proc. zatrudnionych.</w:t>
      </w:r>
    </w:p>
    <w:p w14:paraId="0B76A836" w14:textId="77777777" w:rsidR="00BF1D35" w:rsidRDefault="00BF1D35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621FD0B2" w14:textId="77777777" w:rsidR="00C32BC3" w:rsidRDefault="00B2642C" w:rsidP="00B0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Dla największej części </w:t>
      </w:r>
      <w:r w:rsidR="002B57F5">
        <w:rPr>
          <w:rFonts w:ascii="Tahoma" w:hAnsi="Tahoma" w:cs="Tahoma"/>
          <w:color w:val="000000" w:themeColor="text1"/>
          <w:sz w:val="20"/>
          <w:szCs w:val="20"/>
          <w:lang w:val="pl-PL"/>
        </w:rPr>
        <w:t>pracowników (44 proc.)</w:t>
      </w: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, </w:t>
      </w:r>
      <w:r w:rsidR="002B57F5">
        <w:rPr>
          <w:rFonts w:ascii="Tahoma" w:hAnsi="Tahoma" w:cs="Tahoma"/>
          <w:color w:val="000000" w:themeColor="text1"/>
          <w:sz w:val="20"/>
          <w:szCs w:val="20"/>
          <w:lang w:val="pl-PL"/>
        </w:rPr>
        <w:t>wysokość otrzymanej podwyżki nie była zaskoczeniem i była dokładnie taka, jakiej się spodziewali.</w:t>
      </w:r>
      <w:r w:rsidR="00D02BE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015A02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O </w:t>
      </w:r>
      <w:r w:rsidR="002C05F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3 </w:t>
      </w:r>
      <w:proofErr w:type="spellStart"/>
      <w:r w:rsidR="002C05F7">
        <w:rPr>
          <w:rFonts w:ascii="Tahoma" w:hAnsi="Tahoma" w:cs="Tahoma"/>
          <w:color w:val="000000" w:themeColor="text1"/>
          <w:sz w:val="20"/>
          <w:szCs w:val="20"/>
          <w:lang w:val="pl-PL"/>
        </w:rPr>
        <w:t>p.p</w:t>
      </w:r>
      <w:proofErr w:type="spellEnd"/>
      <w:r w:rsidR="002C05F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. </w:t>
      </w:r>
      <w:r w:rsidR="00015A02">
        <w:rPr>
          <w:rFonts w:ascii="Tahoma" w:hAnsi="Tahoma" w:cs="Tahoma"/>
          <w:color w:val="000000" w:themeColor="text1"/>
          <w:sz w:val="20"/>
          <w:szCs w:val="20"/>
          <w:lang w:val="pl-PL"/>
        </w:rPr>
        <w:t>– z 41 proc</w:t>
      </w:r>
      <w:r w:rsidR="00921AF9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015A02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do 44 proc. </w:t>
      </w:r>
      <w:r w:rsidR="0001210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– </w:t>
      </w:r>
      <w:r w:rsidR="002C05F7">
        <w:rPr>
          <w:rFonts w:ascii="Tahoma" w:hAnsi="Tahoma" w:cs="Tahoma"/>
          <w:color w:val="000000" w:themeColor="text1"/>
          <w:sz w:val="20"/>
          <w:szCs w:val="20"/>
          <w:lang w:val="pl-PL"/>
        </w:rPr>
        <w:t>w</w:t>
      </w:r>
      <w:r w:rsidR="00D02BEF">
        <w:rPr>
          <w:rFonts w:ascii="Tahoma" w:hAnsi="Tahoma" w:cs="Tahoma"/>
          <w:color w:val="000000" w:themeColor="text1"/>
          <w:sz w:val="20"/>
          <w:szCs w:val="20"/>
          <w:lang w:val="pl-PL"/>
        </w:rPr>
        <w:t>zrósł</w:t>
      </w:r>
      <w:r w:rsidR="00A75FEB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D02BE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odsetek osób, które </w:t>
      </w:r>
      <w:r w:rsidR="00151F1A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były </w:t>
      </w:r>
      <w:r w:rsidR="00E826B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w zeszłym roku </w:t>
      </w:r>
      <w:r w:rsidR="00A9487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niezadowolone z podwyżek, </w:t>
      </w:r>
      <w:r w:rsidR="00CB33DE">
        <w:rPr>
          <w:rFonts w:ascii="Tahoma" w:hAnsi="Tahoma" w:cs="Tahoma"/>
          <w:color w:val="000000" w:themeColor="text1"/>
          <w:sz w:val="20"/>
          <w:szCs w:val="20"/>
          <w:lang w:val="pl-PL"/>
        </w:rPr>
        <w:t>gdy</w:t>
      </w:r>
      <w:r w:rsidR="00151F1A">
        <w:rPr>
          <w:rFonts w:ascii="Tahoma" w:hAnsi="Tahoma" w:cs="Tahoma"/>
          <w:color w:val="000000" w:themeColor="text1"/>
          <w:sz w:val="20"/>
          <w:szCs w:val="20"/>
          <w:lang w:val="pl-PL"/>
        </w:rPr>
        <w:t>ż</w:t>
      </w:r>
      <w:r w:rsidR="00A9487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były niższe niż </w:t>
      </w:r>
      <w:r w:rsidR="0022181C">
        <w:rPr>
          <w:rFonts w:ascii="Tahoma" w:hAnsi="Tahoma" w:cs="Tahoma"/>
          <w:color w:val="000000" w:themeColor="text1"/>
          <w:sz w:val="20"/>
          <w:szCs w:val="20"/>
          <w:lang w:val="pl-PL"/>
        </w:rPr>
        <w:t>zakładali</w:t>
      </w:r>
      <w:r w:rsidR="00015A02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B02F21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C32BC3">
        <w:rPr>
          <w:rFonts w:ascii="Tahoma" w:hAnsi="Tahoma" w:cs="Tahoma"/>
          <w:color w:val="000000" w:themeColor="text1"/>
          <w:sz w:val="20"/>
          <w:szCs w:val="20"/>
          <w:lang w:val="pl-PL"/>
        </w:rPr>
        <w:t>W przypadku 12 proc. podwyżka spełniła oczekiwania z nawiązką</w:t>
      </w:r>
      <w:r w:rsidR="00F07345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C32BC3">
        <w:rPr>
          <w:rFonts w:ascii="Tahoma" w:hAnsi="Tahoma" w:cs="Tahoma"/>
          <w:color w:val="000000" w:themeColor="text1"/>
          <w:sz w:val="20"/>
          <w:szCs w:val="20"/>
          <w:lang w:val="pl-PL"/>
        </w:rPr>
        <w:t>i ten odsetek pozostał na stabilnym poziomie.</w:t>
      </w:r>
    </w:p>
    <w:p w14:paraId="79961587" w14:textId="77777777" w:rsidR="00FA4779" w:rsidRDefault="00FA4779" w:rsidP="00383F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0DC4C638" w14:textId="77777777" w:rsidR="00C351D7" w:rsidRDefault="00FA4779" w:rsidP="0025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Premię</w:t>
      </w:r>
      <w:r w:rsidR="0025081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od pracodawców otrzymało w ubiegłym roku 59 proc. respondentów. Najczęściej była to premia uznaniowa (29 proc.) lub okolicznościowa np. świąteczna (27 proc.). Podobnej liczbie pracowników (58 proc.) przyznano inne benefity. </w:t>
      </w:r>
      <w:r w:rsidR="00C351D7">
        <w:rPr>
          <w:rFonts w:ascii="Tahoma" w:hAnsi="Tahoma" w:cs="Tahoma"/>
          <w:color w:val="000000" w:themeColor="text1"/>
          <w:sz w:val="20"/>
          <w:szCs w:val="20"/>
          <w:lang w:val="pl-PL"/>
        </w:rPr>
        <w:t>Najczęściej miały one postać dofinansowania do urlopu (21 proc.), dofinansowania do opieki medycznej (18 proc.) oraz dopłat do kart na siłownię lub basen (16 proc.).</w:t>
      </w:r>
    </w:p>
    <w:p w14:paraId="50F514A8" w14:textId="77777777" w:rsidR="00383F63" w:rsidRDefault="00383F63" w:rsidP="0025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6526415A" w14:textId="77777777" w:rsidR="00383F63" w:rsidRDefault="00383F63" w:rsidP="00383F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Zadowolenie ze swojego poziomu wynagrodzenia pod koniec 2023 r. zadeklarowało 45 proc. wszystkich respondentów (wzrost o 1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p.p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pl-PL"/>
        </w:rPr>
        <w:t>.).</w:t>
      </w:r>
    </w:p>
    <w:p w14:paraId="07A60F1D" w14:textId="77777777" w:rsidR="00BF1D35" w:rsidRDefault="00BF1D35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089E70DA" w14:textId="77777777" w:rsidR="00BF1D35" w:rsidRDefault="00BF1D35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415C2034" w14:textId="77777777" w:rsidR="000E0BFB" w:rsidRDefault="002051AA" w:rsidP="00793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Tahoma" w:hAnsi="Tahoma" w:cs="Tahoma"/>
          <w:b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/>
          <w:bCs/>
          <w:color w:val="0070C0"/>
          <w:sz w:val="20"/>
          <w:szCs w:val="20"/>
          <w:lang w:val="pl-PL"/>
        </w:rPr>
        <w:t xml:space="preserve">Poziom rotacji </w:t>
      </w:r>
      <w:r w:rsidR="00E26D62">
        <w:rPr>
          <w:rFonts w:ascii="Tahoma" w:hAnsi="Tahoma" w:cs="Tahoma"/>
          <w:b/>
          <w:bCs/>
          <w:color w:val="0070C0"/>
          <w:sz w:val="20"/>
          <w:szCs w:val="20"/>
          <w:lang w:val="pl-PL"/>
        </w:rPr>
        <w:t>bez zmian</w:t>
      </w:r>
      <w:r>
        <w:rPr>
          <w:rFonts w:ascii="Tahoma" w:hAnsi="Tahoma" w:cs="Tahoma"/>
          <w:b/>
          <w:bCs/>
          <w:color w:val="0070C0"/>
          <w:sz w:val="20"/>
          <w:szCs w:val="20"/>
          <w:lang w:val="pl-PL"/>
        </w:rPr>
        <w:t xml:space="preserve">, </w:t>
      </w:r>
      <w:r w:rsidR="00E5414A">
        <w:rPr>
          <w:rFonts w:ascii="Tahoma" w:hAnsi="Tahoma" w:cs="Tahoma"/>
          <w:b/>
          <w:bCs/>
          <w:color w:val="0070C0"/>
          <w:sz w:val="20"/>
          <w:szCs w:val="20"/>
          <w:lang w:val="pl-PL"/>
        </w:rPr>
        <w:t xml:space="preserve">duże </w:t>
      </w:r>
      <w:r w:rsidR="00E26D62">
        <w:rPr>
          <w:rFonts w:ascii="Tahoma" w:hAnsi="Tahoma" w:cs="Tahoma"/>
          <w:b/>
          <w:bCs/>
          <w:color w:val="0070C0"/>
          <w:sz w:val="20"/>
          <w:szCs w:val="20"/>
          <w:lang w:val="pl-PL"/>
        </w:rPr>
        <w:t>zadowolenie z pracy również</w:t>
      </w:r>
    </w:p>
    <w:p w14:paraId="064C4FE6" w14:textId="77777777" w:rsidR="00E26D62" w:rsidRPr="008A0863" w:rsidRDefault="00E26D62" w:rsidP="00956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70C0"/>
          <w:sz w:val="20"/>
          <w:szCs w:val="20"/>
          <w:lang w:val="pl-PL"/>
        </w:rPr>
      </w:pPr>
    </w:p>
    <w:p w14:paraId="38A1D856" w14:textId="77777777" w:rsidR="000E0BFB" w:rsidRPr="000D5F7E" w:rsidRDefault="000E0BFB" w:rsidP="00A050A3">
      <w:pPr>
        <w:pStyle w:val="Default"/>
        <w:ind w:left="708"/>
        <w:rPr>
          <w:rFonts w:ascii="Tahoma" w:hAnsi="Tahoma" w:cs="Tahoma"/>
          <w:color w:val="000000" w:themeColor="text1"/>
          <w:sz w:val="20"/>
          <w:szCs w:val="20"/>
        </w:rPr>
      </w:pPr>
      <w:r w:rsidRPr="000D5F7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Rotacja pracowników, zarówno ta między firmami, jak i w obrębie tych samych przedsiębiorstw, nie zmieniła się znacząco od poprzedniej edycji badania.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Identyczny odsetek</w:t>
      </w:r>
      <w:r w:rsidR="0001210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1210B" w:rsidRPr="000D5F7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respondentów</w:t>
      </w:r>
      <w:r w:rsidR="0001210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0D5F7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20 proc.</w:t>
      </w:r>
      <w:r w:rsidR="0001210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)</w:t>
      </w:r>
      <w:r w:rsidRPr="000D5F7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zdecydował się </w:t>
      </w:r>
      <w:r w:rsidRPr="000D5F7E">
        <w:rPr>
          <w:rFonts w:ascii="Tahoma" w:hAnsi="Tahoma" w:cs="Tahoma"/>
          <w:color w:val="000000" w:themeColor="text1"/>
          <w:sz w:val="20"/>
          <w:szCs w:val="20"/>
        </w:rPr>
        <w:t>zmienić pracodawcę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0D5F7E">
        <w:rPr>
          <w:rFonts w:ascii="Tahoma" w:hAnsi="Tahoma" w:cs="Tahoma"/>
          <w:color w:val="000000" w:themeColor="text1"/>
          <w:sz w:val="20"/>
          <w:szCs w:val="20"/>
        </w:rPr>
        <w:t>a inne stanowisko w obrębie dotychczasowej firmy objęło 1</w:t>
      </w:r>
      <w:r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0D5F7E">
        <w:rPr>
          <w:rFonts w:ascii="Tahoma" w:hAnsi="Tahoma" w:cs="Tahoma"/>
          <w:color w:val="000000" w:themeColor="text1"/>
          <w:sz w:val="20"/>
          <w:szCs w:val="20"/>
        </w:rPr>
        <w:t xml:space="preserve"> proc. osób (wzrost o 2 </w:t>
      </w:r>
      <w:proofErr w:type="spellStart"/>
      <w:r w:rsidRPr="000D5F7E">
        <w:rPr>
          <w:rFonts w:ascii="Tahoma" w:hAnsi="Tahoma" w:cs="Tahoma"/>
          <w:color w:val="000000" w:themeColor="text1"/>
          <w:sz w:val="20"/>
          <w:szCs w:val="20"/>
        </w:rPr>
        <w:t>p.p</w:t>
      </w:r>
      <w:proofErr w:type="spellEnd"/>
      <w:r w:rsidRPr="000D5F7E">
        <w:rPr>
          <w:rFonts w:ascii="Tahoma" w:hAnsi="Tahoma" w:cs="Tahoma"/>
          <w:color w:val="000000" w:themeColor="text1"/>
          <w:sz w:val="20"/>
          <w:szCs w:val="20"/>
        </w:rPr>
        <w:t xml:space="preserve">.). </w:t>
      </w:r>
      <w:r>
        <w:rPr>
          <w:rFonts w:ascii="Tahoma" w:hAnsi="Tahoma" w:cs="Tahoma"/>
          <w:color w:val="000000" w:themeColor="text1"/>
          <w:sz w:val="20"/>
          <w:szCs w:val="20"/>
        </w:rPr>
        <w:t>Najczęściej pracodawcę zmieniali sprzedawcy i kasjerzy (41 proc.).</w:t>
      </w:r>
    </w:p>
    <w:p w14:paraId="33F53468" w14:textId="77777777" w:rsidR="000E0BFB" w:rsidRDefault="000E0BFB" w:rsidP="00A050A3">
      <w:pPr>
        <w:rPr>
          <w:rFonts w:ascii="Tahoma" w:hAnsi="Tahoma" w:cs="Tahoma"/>
          <w:b/>
          <w:bCs/>
          <w:color w:val="4472C4" w:themeColor="accent1"/>
          <w:sz w:val="20"/>
          <w:szCs w:val="20"/>
          <w:shd w:val="clear" w:color="auto" w:fill="FFFFFF"/>
          <w:lang w:val="pl-PL"/>
        </w:rPr>
      </w:pPr>
    </w:p>
    <w:p w14:paraId="60E85977" w14:textId="77777777" w:rsidR="000E0BFB" w:rsidRDefault="00686CED" w:rsidP="001B13BB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Wciąż </w:t>
      </w:r>
      <w:r w:rsidR="000E0BF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najważniejszym powodem zmiany pracy jest wyższe wynagrodzenie: 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potwierdza to 47 proc. ankietowanych</w:t>
      </w:r>
      <w:r w:rsidR="00A050A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(spadek o 1 </w:t>
      </w:r>
      <w:proofErr w:type="spellStart"/>
      <w:r w:rsidR="00A050A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p.p</w:t>
      </w:r>
      <w:proofErr w:type="spellEnd"/>
      <w:r w:rsidR="00A050A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. 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w </w:t>
      </w:r>
      <w:r w:rsidR="00A050A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stosunku do 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poprzedni</w:t>
      </w:r>
      <w:r w:rsidR="00A050A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e</w:t>
      </w:r>
      <w:r w:rsidR="00460C0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j fali badania</w:t>
      </w:r>
      <w:r w:rsidR="009D18D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)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. </w:t>
      </w:r>
      <w:r w:rsidR="009D18D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M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ożliwość rozwoju zawodowego</w:t>
      </w:r>
      <w:r w:rsidR="009D18D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, pojawiająca się jako druga na liście, nieznacznie straciła na znaczeniu: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taki powód podaje 3</w:t>
      </w:r>
      <w:r w:rsidR="00766F7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9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 ankietowanych, co stanowi spadek o </w:t>
      </w:r>
      <w:r w:rsidR="000C7BF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3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p.p</w:t>
      </w:r>
      <w:proofErr w:type="spellEnd"/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</w:t>
      </w:r>
      <w:r w:rsidR="000E0BF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Trzecią najczęściej wskazywaną przyczyną odejścia z firmy jest niezadowolenie z pracodawcy (3</w:t>
      </w:r>
      <w:r w:rsidR="001B1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8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 respondentów – </w:t>
      </w:r>
      <w:r w:rsidR="0059647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tu </w:t>
      </w:r>
      <w:r w:rsidR="00CC74E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obserwujemy 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wzrost o </w:t>
      </w:r>
      <w:r w:rsidR="001B1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4</w:t>
      </w:r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p.p</w:t>
      </w:r>
      <w:proofErr w:type="spellEnd"/>
      <w:r w:rsidR="000E0BFB" w:rsidRPr="00D43B5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.).</w:t>
      </w:r>
      <w:r w:rsidR="000E0BF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14:paraId="4CBD0258" w14:textId="77777777" w:rsidR="000E0BFB" w:rsidRDefault="000E0BFB" w:rsidP="000E0BFB">
      <w:pP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0A0FDB30" w14:textId="77777777" w:rsidR="00A7392C" w:rsidRDefault="000E0BFB" w:rsidP="000E0BFB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7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6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 pracowników jest zadowolonych z obecn</w:t>
      </w:r>
      <w:r w:rsidR="00DC0FBF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ej posady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, a tylko 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8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 aktywnie poszukuje nowego zatrudnienia. </w:t>
      </w:r>
      <w:r w:rsidR="00774669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Przybyło </w:t>
      </w:r>
      <w:r w:rsidR="0028007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osób, 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któr</w:t>
      </w:r>
      <w:r w:rsidR="00927EEF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e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w ogóle nie biorą pod uwagę zmiany pracodawcy (46 proc.</w:t>
      </w:r>
      <w:r w:rsidR="000C42C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– wzrost o 4 </w:t>
      </w:r>
      <w:proofErr w:type="spellStart"/>
      <w:r w:rsidR="000C42C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p.p</w:t>
      </w:r>
      <w:proofErr w:type="spellEnd"/>
      <w:r w:rsidR="000C42C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)</w:t>
      </w:r>
      <w:r w:rsidR="00927EEF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i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842C0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ubyło tych, 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któr</w:t>
      </w:r>
      <w:r w:rsidR="00927EEF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e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aktywnie nie poszukują</w:t>
      </w:r>
      <w:r w:rsidR="001F159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, a</w:t>
      </w:r>
      <w:r w:rsidR="00927EEF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jedynie się rozglądają (45 proc. – spadek o 5 </w:t>
      </w:r>
      <w:proofErr w:type="spellStart"/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p.p</w:t>
      </w:r>
      <w:proofErr w:type="spellEnd"/>
      <w:r w:rsidR="00A739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.)</w:t>
      </w:r>
      <w:r w:rsidR="009563B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1D588586" w14:textId="77777777" w:rsidR="000E0BFB" w:rsidRDefault="000E0BFB" w:rsidP="000E0BFB">
      <w:pPr>
        <w:rPr>
          <w:rFonts w:ascii="Tahoma" w:hAnsi="Tahoma" w:cs="Tahoma"/>
          <w:b/>
          <w:bCs/>
          <w:color w:val="4472C4" w:themeColor="accent1"/>
          <w:sz w:val="20"/>
          <w:szCs w:val="20"/>
          <w:shd w:val="clear" w:color="auto" w:fill="FFFFFF"/>
          <w:lang w:val="pl-PL"/>
        </w:rPr>
      </w:pPr>
    </w:p>
    <w:p w14:paraId="68072B49" w14:textId="77777777" w:rsidR="000E0BFB" w:rsidRDefault="000E0BFB" w:rsidP="000E0BFB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Względnie duże pozostaje także poczucie bezpieczeństwa zawodowego: z</w:t>
      </w:r>
      <w:r w:rsidRPr="003B5B4F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ale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dwie </w:t>
      </w:r>
      <w:r w:rsidR="001D278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9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 ankietowanych w znaczącym stopniu obawia się utraty pracy. Umiarkowane obawy żywi </w:t>
      </w:r>
      <w:r w:rsidR="009563B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20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proc. badanych.</w:t>
      </w:r>
    </w:p>
    <w:p w14:paraId="761485E7" w14:textId="77777777" w:rsidR="006C2C00" w:rsidRDefault="006C2C00" w:rsidP="000E0BFB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0C61EED3" w14:textId="77777777" w:rsidR="003D282F" w:rsidRDefault="003D282F" w:rsidP="007153C8">
      <w:pPr>
        <w:ind w:firstLine="708"/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</w:pPr>
    </w:p>
    <w:p w14:paraId="2413CA87" w14:textId="77777777" w:rsidR="007153C8" w:rsidRPr="003D282F" w:rsidRDefault="007153C8" w:rsidP="007153C8">
      <w:pPr>
        <w:ind w:firstLine="708"/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</w:pPr>
      <w:r w:rsidRPr="003D282F"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  <w:t xml:space="preserve">Szukanie pracy trwa dłużej, </w:t>
      </w:r>
      <w:r w:rsidR="00EC5BF5" w:rsidRPr="003D282F"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  <w:t xml:space="preserve">a </w:t>
      </w:r>
      <w:r w:rsidRPr="003D282F"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  <w:t>optymizm pracowników</w:t>
      </w:r>
      <w:r w:rsidR="00EC5BF5" w:rsidRPr="003D282F"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  <w:t xml:space="preserve"> nie</w:t>
      </w:r>
      <w:r w:rsidR="00824EB8" w:rsidRPr="003D282F"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  <w:t>co</w:t>
      </w:r>
      <w:r w:rsidR="00EC5BF5" w:rsidRPr="003D282F">
        <w:rPr>
          <w:rFonts w:ascii="Tahoma" w:hAnsi="Tahoma" w:cs="Tahoma"/>
          <w:b/>
          <w:bCs/>
          <w:color w:val="2E74B5" w:themeColor="accent5" w:themeShade="BF"/>
          <w:sz w:val="20"/>
          <w:szCs w:val="20"/>
          <w:shd w:val="clear" w:color="auto" w:fill="FFFFFF"/>
          <w:lang w:val="pl-PL"/>
        </w:rPr>
        <w:t xml:space="preserve"> spadł</w:t>
      </w:r>
    </w:p>
    <w:p w14:paraId="264D6786" w14:textId="77777777" w:rsidR="007153C8" w:rsidRDefault="007153C8" w:rsidP="007153C8">
      <w:pPr>
        <w:ind w:firstLine="708"/>
        <w:rPr>
          <w:rFonts w:ascii="Tahoma" w:hAnsi="Tahoma" w:cs="Tahoma"/>
          <w:b/>
          <w:bCs/>
          <w:color w:val="4472C4" w:themeColor="accent1"/>
          <w:sz w:val="20"/>
          <w:szCs w:val="20"/>
          <w:shd w:val="clear" w:color="auto" w:fill="FFFFFF"/>
          <w:lang w:val="pl-PL"/>
        </w:rPr>
      </w:pPr>
    </w:p>
    <w:p w14:paraId="0289484A" w14:textId="77777777" w:rsidR="007153C8" w:rsidRDefault="009C44EF" w:rsidP="007153C8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Nieco </w:t>
      </w:r>
      <w:r w:rsidR="00DE257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mniej optymistycznie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niż w poprzednio analizowanym okresie, </w:t>
      </w:r>
      <w:r w:rsidR="00DE257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Polacy 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ocen</w:t>
      </w:r>
      <w:r w:rsidR="00DE257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iają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szans</w:t>
      </w:r>
      <w:r w:rsidR="003D0BD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e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na znalezienie nowego zatrudnienia: spadł zarówno odsetek tych, którzy twierdzą, że znaleźliby pracę lepszą lub tak dobrą jak obecna </w:t>
      </w:r>
      <w:r w:rsidR="00CA67A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(z 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6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9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</w:t>
      </w:r>
      <w:r w:rsidR="00CA67A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 do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6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5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proc.), jak i tych, którzy oceniają, że znaleźliby jakąkolwiek pracę </w:t>
      </w:r>
      <w:r w:rsidR="000A646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(z 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8</w:t>
      </w:r>
      <w:r w:rsidR="000A646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9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 vs. 8</w:t>
      </w:r>
      <w:r w:rsidR="000A646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8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proc.). </w:t>
      </w:r>
    </w:p>
    <w:p w14:paraId="739C83B1" w14:textId="77777777" w:rsidR="008A62B9" w:rsidRDefault="008A62B9" w:rsidP="007153C8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0ABAE474" w14:textId="77777777" w:rsidR="00492E2D" w:rsidRDefault="00BD4548" w:rsidP="00C7406C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Najbardziej pozytywnie </w:t>
      </w:r>
      <w:r w:rsidR="0063186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swoje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szanse </w:t>
      </w:r>
      <w:r w:rsidR="0063186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na r</w:t>
      </w:r>
      <w:r w:rsidR="00C76FB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="0063186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nku pracy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oceniają </w:t>
      </w:r>
      <w:r w:rsidR="004A6B5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inżynier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owie</w:t>
      </w:r>
      <w:r w:rsidR="004A6B5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i kierowc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="004A6B5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 W pierwszej grupie zawodowej aż 100</w:t>
      </w:r>
      <w:r w:rsidR="007153C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proc. </w:t>
      </w:r>
      <w:r w:rsidR="004A6B5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respondentów jest zdania, że w razie konieczności znajd</w:t>
      </w:r>
      <w:r w:rsidR="0001210B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zie</w:t>
      </w:r>
      <w:r w:rsidR="004A6B5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jakąkolwiek pracę</w:t>
      </w:r>
      <w:r w:rsidR="00492E2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, a 65 proc.</w:t>
      </w:r>
      <w:r w:rsidR="00505AE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="00492E2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że będzie to praca tak samo dobra lub lepsza.</w:t>
      </w:r>
      <w:r w:rsidR="00C7406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492E2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W</w:t>
      </w:r>
      <w:r w:rsidR="0082696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drugiej –</w:t>
      </w:r>
      <w:r w:rsidR="00492E2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te odsetki wynoszą odpowiednio </w:t>
      </w:r>
      <w:r w:rsidR="005D503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97 proc. i 78. proc.</w:t>
      </w:r>
    </w:p>
    <w:p w14:paraId="3EDAEB91" w14:textId="77777777" w:rsidR="007153C8" w:rsidRDefault="007153C8" w:rsidP="007153C8">
      <w:pP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9D71E23" w14:textId="77777777" w:rsidR="008A62B9" w:rsidRDefault="007153C8" w:rsidP="007153C8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Widocznie wydłużył się natomiast średni okres poszukiwania zatrudnienia: z 2,</w:t>
      </w:r>
      <w:r w:rsidR="00DE7B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7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do 3</w:t>
      </w:r>
      <w:r w:rsidR="00DE7B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,1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miesi</w:t>
      </w:r>
      <w:r w:rsidR="00DE7B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ąca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. </w:t>
      </w:r>
      <w:r w:rsidR="00B60AB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Wbrew pozorom, może być to jednak pozytywny symptom </w:t>
      </w:r>
      <w:r w:rsidR="00A10EA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oznaczający</w:t>
      </w:r>
      <w:r w:rsidR="00B60AB3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, że </w:t>
      </w:r>
      <w:r w:rsidR="00A10EA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osoby zdecydowane na zmianę pracodawcy, </w:t>
      </w:r>
      <w:r w:rsidR="00DC05F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świadomie </w:t>
      </w:r>
      <w:r w:rsidR="0048575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szukają </w:t>
      </w:r>
      <w:r w:rsidR="006D5858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dłużej</w:t>
      </w:r>
      <w:r w:rsidR="00DC05FD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, ponieważ </w:t>
      </w:r>
      <w:r w:rsidR="0001239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wobec nowej oferty mają </w:t>
      </w:r>
      <w:r w:rsidR="0044312C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wyższe wymagania</w:t>
      </w:r>
      <w:r w:rsidR="004D6655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1A0CE4E5" w14:textId="77777777" w:rsidR="008A62B9" w:rsidRDefault="008A62B9" w:rsidP="007153C8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6F8BE0B5" w14:textId="4301D7B6" w:rsidR="0044312C" w:rsidRDefault="00594BCA" w:rsidP="00594BCA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–</w:t>
      </w:r>
      <w:r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8A62B9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Gorsza koniunktura gospodarcza 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2023 roku </w:t>
      </w:r>
      <w:r w:rsidR="008A62B9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zaczyna być widoczna w danych statystycznych GUS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 opisujących rynek pracy</w:t>
      </w:r>
      <w:r w:rsidR="008A62B9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. 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W listopadzie 2023 roku przeciętne zatrudnienie w sektorze przedsiębiorstw zmniejszyło się w relacji do listopada rok wcześniej o 13,5 tys., a spadki r/r miały też miejsce w październiku i sierpniu.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P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omijając okres pandemii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poprzednie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 spadki zatrudnienia w tym ujęciu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 miały miejsce ostatnio w… 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2014 roku.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Wprawdzie </w:t>
      </w:r>
      <w:r w:rsidR="005002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liczba zarejestrowanych bezrobotnych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c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iągle maleje nam w ujęciu 12-miesięcznym, ale </w:t>
      </w:r>
      <w:r w:rsidR="005002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spada też 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wskaźnik wolnych miejsc pracy (0,89% w III kwartale 2023 roku</w:t>
      </w:r>
      <w:r w:rsidR="005002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). Jego ostatnie wartości są 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– pomijając czas koronawirusa – najniższ</w:t>
      </w:r>
      <w:r w:rsidR="005002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e</w:t>
      </w:r>
      <w:r w:rsidR="002D6176"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 od przełomu roku 2016 i 2017. </w:t>
      </w:r>
      <w:r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Póki koniunktura się nie poprawi, czas poszukiwania pracy raczej nie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będzie </w:t>
      </w:r>
      <w:r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się skracać, a może nawet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się wydłużyć</w:t>
      </w:r>
      <w:r w:rsidR="005002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. P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odobnie </w:t>
      </w:r>
      <w:r w:rsidR="005002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pogarszać się może 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subiektywna ocena pracowników szans na znalezienie takiej samej lub lepszej pracy</w:t>
      </w:r>
      <w:r w:rsidRPr="00594BCA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.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Pr="00594BC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–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</w:t>
      </w:r>
      <w:r w:rsidR="00500234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rzewid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uje </w:t>
      </w:r>
      <w:r w:rsidRPr="00594BCA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Łukasz Komuda</w:t>
      </w:r>
      <w:r w:rsidRPr="00594BC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, ekspert ds. rynku pracy w Fundacji Inicjatyw Społeczno-Ekonomicznych i współautor </w:t>
      </w:r>
      <w:proofErr w:type="spellStart"/>
      <w:r w:rsidRPr="00594BC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>podcastu</w:t>
      </w:r>
      <w:proofErr w:type="spellEnd"/>
      <w:r w:rsidRPr="00594BCA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  <w:t xml:space="preserve"> „Ekonomia i cała reszta”.</w:t>
      </w:r>
    </w:p>
    <w:p w14:paraId="64386115" w14:textId="77777777" w:rsidR="00720B4C" w:rsidRPr="006D5858" w:rsidRDefault="00720B4C" w:rsidP="008B5A35">
      <w:pP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61F16108" w14:textId="77777777" w:rsidR="00A10EA1" w:rsidRDefault="00A10EA1" w:rsidP="007153C8">
      <w:pPr>
        <w:ind w:left="708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04245A29" w14:textId="77777777" w:rsidR="00E85801" w:rsidRDefault="00720B4C" w:rsidP="00E85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noProof/>
          <w:color w:val="000000" w:themeColor="text1"/>
          <w:sz w:val="20"/>
          <w:szCs w:val="20"/>
          <w:bdr w:val="none" w:sz="0" w:space="0" w:color="auto"/>
          <w:lang w:val="pl-PL"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60E4F" wp14:editId="0ABFDE4B">
                <wp:simplePos x="0" y="0"/>
                <wp:positionH relativeFrom="column">
                  <wp:posOffset>468652</wp:posOffset>
                </wp:positionH>
                <wp:positionV relativeFrom="paragraph">
                  <wp:posOffset>110534</wp:posOffset>
                </wp:positionV>
                <wp:extent cx="5226948" cy="0"/>
                <wp:effectExtent l="0" t="0" r="5715" b="12700"/>
                <wp:wrapNone/>
                <wp:docPr id="9325405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9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F84B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8.7pt" to="44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" strokecolor="#4472c4 [3204]" strokeweight="1pt">
                <v:stroke joinstyle="miter"/>
              </v:line>
            </w:pict>
          </mc:Fallback>
        </mc:AlternateContent>
      </w:r>
    </w:p>
    <w:p w14:paraId="01A379BE" w14:textId="77777777" w:rsidR="00E85801" w:rsidRDefault="00E85801" w:rsidP="00E85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77820CE4" w14:textId="77777777" w:rsidR="00E37383" w:rsidRPr="00E85801" w:rsidRDefault="00E37383" w:rsidP="00443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Style w:val="Brak"/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  <w:r w:rsidRPr="00E85801">
        <w:rPr>
          <w:rStyle w:val="Brak"/>
          <w:rFonts w:ascii="Tahoma" w:eastAsia="Songti SC" w:hAnsi="Tahoma" w:cs="Tahoma"/>
          <w:b/>
          <w:bCs/>
          <w:color w:val="4472C4" w:themeColor="accent1"/>
          <w:kern w:val="16"/>
          <w:sz w:val="16"/>
          <w:szCs w:val="16"/>
          <w:lang w:val="pl-PL"/>
        </w:rPr>
        <w:t>Monitor Rynku Pracy</w:t>
      </w:r>
      <w:r w:rsidRPr="00E85801">
        <w:rPr>
          <w:rStyle w:val="Brak"/>
          <w:rFonts w:ascii="Tahoma" w:eastAsia="Songti SC" w:hAnsi="Tahoma" w:cs="Tahoma"/>
          <w:color w:val="4472C4" w:themeColor="accent1"/>
          <w:kern w:val="16"/>
          <w:sz w:val="16"/>
          <w:szCs w:val="16"/>
          <w:u w:color="0070C0"/>
          <w:lang w:val="pl-PL"/>
        </w:rPr>
        <w:t xml:space="preserve"> </w:t>
      </w:r>
      <w:r w:rsidRPr="00E85801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 xml:space="preserve">to sondaż Instytutu Badawczego </w:t>
      </w:r>
      <w:proofErr w:type="spellStart"/>
      <w:r w:rsidRPr="00E85801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>Randstad</w:t>
      </w:r>
      <w:proofErr w:type="spellEnd"/>
      <w:r w:rsidRPr="00E85801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 xml:space="preserve">, jest kwartalnym sondażem realizowanym w Polsce od 2010 roku. </w:t>
      </w:r>
      <w:r w:rsidRPr="006844DB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>Bieżąca, 54. edycja badania, została zrealizowan</w:t>
      </w:r>
      <w:r w:rsidR="00CF1B7A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>a</w:t>
      </w:r>
      <w:r w:rsidRPr="006844DB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 xml:space="preserve"> w okresie</w:t>
      </w:r>
      <w:r w:rsidRPr="006844DB">
        <w:rPr>
          <w:rFonts w:ascii="Tahoma" w:hAnsi="Tahoma" w:cs="Tahoma"/>
          <w:color w:val="0C163F"/>
          <w:sz w:val="16"/>
          <w:szCs w:val="16"/>
          <w:lang w:val="pl-PL"/>
        </w:rPr>
        <w:t xml:space="preserve"> </w:t>
      </w:r>
      <w:r w:rsidRPr="006844DB">
        <w:rPr>
          <w:rFonts w:ascii="Tahoma" w:hAnsi="Tahoma" w:cs="Tahoma"/>
          <w:sz w:val="16"/>
          <w:szCs w:val="16"/>
          <w:lang w:val="pl-PL"/>
        </w:rPr>
        <w:t>27 listopada – 8 grudnia 2023 r</w:t>
      </w:r>
      <w:r w:rsidRPr="006844DB">
        <w:rPr>
          <w:rFonts w:ascii="Tahoma" w:hAnsi="Tahoma" w:cs="Tahoma"/>
          <w:color w:val="0C163F"/>
          <w:sz w:val="16"/>
          <w:szCs w:val="16"/>
          <w:lang w:val="pl-PL"/>
        </w:rPr>
        <w:t xml:space="preserve">. </w:t>
      </w:r>
      <w:r w:rsidRPr="006844DB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 xml:space="preserve">przez Instytut Badań </w:t>
      </w:r>
      <w:proofErr w:type="spellStart"/>
      <w:r w:rsidRPr="006844DB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>Pollster</w:t>
      </w:r>
      <w:proofErr w:type="spellEnd"/>
      <w:r w:rsidRPr="006844DB">
        <w:rPr>
          <w:rStyle w:val="Brak"/>
          <w:rFonts w:ascii="Tahoma" w:eastAsia="Songti SC" w:hAnsi="Tahoma" w:cs="Tahoma"/>
          <w:kern w:val="16"/>
          <w:sz w:val="16"/>
          <w:szCs w:val="16"/>
          <w:lang w:val="pl-PL"/>
        </w:rPr>
        <w:t xml:space="preserve"> metodą CAWI (wspomagany komputerowo wywiad realizowany za pośrednictwem strony www, na panelu internetowym) na reprezentatywnej grupie 1000 respondentów w wieku od 18 do 64 lat, pracujących minimum 24 godziny w tygodniu, zatrudnionych na podstawie umowy o prace, umów cywilnoprawnych lub samozatrudnionych, o ile posiadają stałą umową o świadczenie usług jednej firmie.</w:t>
      </w:r>
    </w:p>
    <w:p w14:paraId="533580BD" w14:textId="77777777" w:rsidR="00E37383" w:rsidRPr="00A556BF" w:rsidRDefault="00E37383" w:rsidP="00E37383">
      <w:pPr>
        <w:pStyle w:val="HeaderAddress"/>
        <w:spacing w:line="288" w:lineRule="auto"/>
        <w:ind w:left="-108"/>
        <w:jc w:val="both"/>
        <w:rPr>
          <w:rStyle w:val="Brak"/>
          <w:kern w:val="16"/>
          <w:lang w:val="pl-PL"/>
        </w:rPr>
      </w:pPr>
    </w:p>
    <w:p w14:paraId="4698A60E" w14:textId="77777777" w:rsidR="00E37383" w:rsidRDefault="00E37383" w:rsidP="00EE2130">
      <w:pPr>
        <w:pStyle w:val="HeaderAddress"/>
        <w:spacing w:line="288" w:lineRule="auto"/>
        <w:ind w:left="708"/>
        <w:jc w:val="both"/>
        <w:rPr>
          <w:rStyle w:val="Brak"/>
          <w:kern w:val="16"/>
          <w:lang w:val="pl-PL"/>
        </w:rPr>
      </w:pPr>
      <w:proofErr w:type="spellStart"/>
      <w:r w:rsidRPr="00A0059F">
        <w:rPr>
          <w:rStyle w:val="Brak"/>
          <w:b/>
          <w:color w:val="0070C0"/>
          <w:kern w:val="16"/>
          <w:lang w:val="pl-PL"/>
        </w:rPr>
        <w:t>Randstad</w:t>
      </w:r>
      <w:proofErr w:type="spellEnd"/>
      <w:r w:rsidRPr="00A0059F">
        <w:rPr>
          <w:rStyle w:val="Brak"/>
          <w:b/>
          <w:color w:val="0070C0"/>
          <w:kern w:val="16"/>
          <w:lang w:val="pl-PL"/>
        </w:rPr>
        <w:t xml:space="preserve"> Polska</w:t>
      </w:r>
      <w:r w:rsidRPr="00A0059F">
        <w:rPr>
          <w:rStyle w:val="Brak"/>
          <w:color w:val="0070C0"/>
          <w:kern w:val="16"/>
          <w:lang w:val="pl-PL"/>
        </w:rPr>
        <w:t xml:space="preserve"> </w:t>
      </w:r>
      <w:r w:rsidRPr="00A0059F">
        <w:rPr>
          <w:rStyle w:val="Brak"/>
          <w:kern w:val="16"/>
          <w:lang w:val="pl-PL"/>
        </w:rPr>
        <w:t xml:space="preserve">jest częścią </w:t>
      </w:r>
      <w:proofErr w:type="spellStart"/>
      <w:r w:rsidRPr="00A0059F">
        <w:rPr>
          <w:rStyle w:val="Brak"/>
          <w:kern w:val="16"/>
          <w:lang w:val="pl-PL"/>
        </w:rPr>
        <w:t>Randstad</w:t>
      </w:r>
      <w:proofErr w:type="spellEnd"/>
      <w:r w:rsidRPr="00A0059F">
        <w:rPr>
          <w:rStyle w:val="Brak"/>
          <w:kern w:val="16"/>
          <w:lang w:val="pl-PL"/>
        </w:rPr>
        <w:t xml:space="preserve"> N.V.</w:t>
      </w:r>
      <w:r>
        <w:rPr>
          <w:rStyle w:val="Brak"/>
          <w:kern w:val="16"/>
          <w:lang w:val="pl-PL"/>
        </w:rPr>
        <w:t xml:space="preserve"> </w:t>
      </w:r>
      <w:r w:rsidRPr="00A0059F">
        <w:rPr>
          <w:rStyle w:val="Brak"/>
          <w:kern w:val="16"/>
          <w:lang w:val="pl-PL"/>
        </w:rPr>
        <w:t xml:space="preserve">– największej na świecie firmy zajmującej się pozyskiwaniem talentów dla organizacji. Jesteśmy zaufanym partnerem biznesowym dla naszych klientów. Dążymy do zapewnienia pracownikom równych szans w znalezieniu zatrudnienia bez względu na pochodzenie i ułatwiamy im zachowanie istotnej roli w dynamicznie zmieniającym się środowisku pracy. Doskonale rozumiemy rynek zatrudnienia i pomagamy klientom w budowaniu wysokiej klasy, zróżnicowanej i dopasowanej do potrzeb kadry pracowniczej, która jest w stanie skutecznie wspierać organizacje w rozwoju. Każdego dnia na całym świecie 46 000 pracowników </w:t>
      </w:r>
      <w:proofErr w:type="spellStart"/>
      <w:r w:rsidRPr="00A0059F">
        <w:rPr>
          <w:rStyle w:val="Brak"/>
          <w:kern w:val="16"/>
          <w:lang w:val="pl-PL"/>
        </w:rPr>
        <w:t>Randstad</w:t>
      </w:r>
      <w:proofErr w:type="spellEnd"/>
      <w:r w:rsidRPr="00A0059F">
        <w:rPr>
          <w:rStyle w:val="Brak"/>
          <w:kern w:val="16"/>
          <w:lang w:val="pl-PL"/>
        </w:rPr>
        <w:t xml:space="preserve"> wspiera poszukujących pracy w realizacji ich pełnego potencjału zawodowego.</w:t>
      </w:r>
      <w:r w:rsidR="00EE2130">
        <w:rPr>
          <w:rStyle w:val="Brak"/>
          <w:kern w:val="16"/>
          <w:lang w:val="pl-PL"/>
        </w:rPr>
        <w:t xml:space="preserve"> </w:t>
      </w:r>
      <w:r w:rsidRPr="00A0059F">
        <w:rPr>
          <w:rStyle w:val="Brak"/>
          <w:kern w:val="16"/>
          <w:lang w:val="pl-PL"/>
        </w:rPr>
        <w:t xml:space="preserve">W 2022 roku w </w:t>
      </w:r>
      <w:proofErr w:type="spellStart"/>
      <w:r w:rsidRPr="00A0059F">
        <w:rPr>
          <w:rStyle w:val="Brak"/>
          <w:kern w:val="16"/>
          <w:lang w:val="pl-PL"/>
        </w:rPr>
        <w:t>Randstad</w:t>
      </w:r>
      <w:proofErr w:type="spellEnd"/>
      <w:r w:rsidRPr="00A0059F">
        <w:rPr>
          <w:rStyle w:val="Brak"/>
          <w:kern w:val="16"/>
          <w:lang w:val="pl-PL"/>
        </w:rPr>
        <w:t xml:space="preserve"> Polska 18 000 osób pomogliśmy znaleźć zatrudnienie odpowiadające ich potrzebom i kwalifikacjom. Nasi eksperci udzielili fachowego wsparcia doradczego 1500 pracodawcom działającym na polskim rynku pracy.</w:t>
      </w:r>
      <w:r w:rsidR="00D272C3">
        <w:rPr>
          <w:rStyle w:val="Brak"/>
          <w:kern w:val="16"/>
          <w:lang w:val="pl-PL"/>
        </w:rPr>
        <w:t xml:space="preserve"> </w:t>
      </w:r>
      <w:r w:rsidRPr="00A0059F">
        <w:rPr>
          <w:rStyle w:val="Brak"/>
          <w:kern w:val="16"/>
          <w:lang w:val="pl-PL"/>
        </w:rPr>
        <w:t xml:space="preserve">W </w:t>
      </w:r>
      <w:proofErr w:type="spellStart"/>
      <w:r w:rsidRPr="00A0059F">
        <w:rPr>
          <w:rStyle w:val="Brak"/>
          <w:kern w:val="16"/>
          <w:lang w:val="pl-PL"/>
        </w:rPr>
        <w:t>Randstad</w:t>
      </w:r>
      <w:proofErr w:type="spellEnd"/>
      <w:r w:rsidRPr="00A0059F">
        <w:rPr>
          <w:rStyle w:val="Brak"/>
          <w:kern w:val="16"/>
          <w:lang w:val="pl-PL"/>
        </w:rPr>
        <w:t xml:space="preserve"> działamy globalnie, ale i lokalnie. Na co dzień z naszymi specjalistami spotkać się można w jednym z ponad 100 biur</w:t>
      </w:r>
      <w:r w:rsidR="00D272C3">
        <w:rPr>
          <w:rStyle w:val="Brak"/>
          <w:kern w:val="16"/>
          <w:lang w:val="pl-PL"/>
        </w:rPr>
        <w:t xml:space="preserve"> </w:t>
      </w:r>
      <w:r w:rsidRPr="00A0059F">
        <w:rPr>
          <w:rStyle w:val="Brak"/>
          <w:kern w:val="16"/>
          <w:lang w:val="pl-PL"/>
        </w:rPr>
        <w:t>w Polsce.</w:t>
      </w:r>
    </w:p>
    <w:p w14:paraId="6927474B" w14:textId="77777777" w:rsidR="00D272C3" w:rsidRPr="00A0059F" w:rsidRDefault="00D272C3" w:rsidP="00D272C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2E6EAC7" w14:textId="77777777" w:rsidR="00E37383" w:rsidRPr="00A556BF" w:rsidRDefault="00E37383" w:rsidP="00EE2130">
      <w:pPr>
        <w:pStyle w:val="HeaderAddress"/>
        <w:spacing w:line="288" w:lineRule="auto"/>
        <w:ind w:left="-108" w:firstLine="816"/>
        <w:jc w:val="both"/>
        <w:rPr>
          <w:rStyle w:val="Brak"/>
          <w:kern w:val="16"/>
          <w:lang w:val="pl-PL"/>
        </w:rPr>
      </w:pPr>
      <w:r w:rsidRPr="00A0059F">
        <w:rPr>
          <w:rStyle w:val="Brak"/>
          <w:kern w:val="16"/>
          <w:lang w:val="pl-PL"/>
        </w:rPr>
        <w:t>Więcej informacji o firmie: www.randstad.pl</w:t>
      </w:r>
      <w:r w:rsidRPr="00A0059F" w:rsidDel="00A0059F">
        <w:rPr>
          <w:rStyle w:val="Brak"/>
          <w:kern w:val="16"/>
          <w:lang w:val="pl-PL"/>
        </w:rPr>
        <w:t xml:space="preserve"> </w:t>
      </w:r>
    </w:p>
    <w:p w14:paraId="0FC9A8AA" w14:textId="77777777" w:rsidR="00E37383" w:rsidRDefault="00E37383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46584977" w14:textId="77777777" w:rsidR="00E37383" w:rsidRDefault="00E37383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44072D8D" w14:textId="77777777" w:rsidR="00E37383" w:rsidRDefault="00E37383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626B5376" w14:textId="77777777" w:rsidR="00E37383" w:rsidRDefault="00E37383" w:rsidP="00AF7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4A6DBC85" w14:textId="77777777" w:rsidR="00DD1E35" w:rsidRPr="009F3007" w:rsidRDefault="00DD1E35" w:rsidP="001B61CA">
      <w:pPr>
        <w:jc w:val="both"/>
        <w:rPr>
          <w:lang w:val="pl-PL"/>
        </w:rPr>
      </w:pPr>
    </w:p>
    <w:sectPr w:rsidR="00DD1E35" w:rsidRPr="009F30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48AA" w14:textId="77777777" w:rsidR="0000350D" w:rsidRDefault="0000350D" w:rsidP="009F3007">
      <w:r>
        <w:separator/>
      </w:r>
    </w:p>
  </w:endnote>
  <w:endnote w:type="continuationSeparator" w:id="0">
    <w:p w14:paraId="5F8E7035" w14:textId="77777777" w:rsidR="0000350D" w:rsidRDefault="0000350D" w:rsidP="009F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  <w:font w:name="Graphik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643D" w14:textId="77777777" w:rsidR="0000350D" w:rsidRDefault="0000350D" w:rsidP="009F3007">
      <w:r>
        <w:separator/>
      </w:r>
    </w:p>
  </w:footnote>
  <w:footnote w:type="continuationSeparator" w:id="0">
    <w:p w14:paraId="24E6CF84" w14:textId="77777777" w:rsidR="0000350D" w:rsidRDefault="0000350D" w:rsidP="009F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84E" w14:textId="77777777" w:rsidR="009F3007" w:rsidRDefault="009F3007">
    <w:pPr>
      <w:pStyle w:val="Nagwek"/>
    </w:pPr>
    <w:r>
      <w:rPr>
        <w:noProof/>
        <w:lang w:val="pl-PL" w:eastAsia="pl-PL"/>
      </w:rPr>
      <w:drawing>
        <wp:anchor distT="152400" distB="152400" distL="152400" distR="152400" simplePos="0" relativeHeight="251659264" behindDoc="1" locked="0" layoutInCell="1" allowOverlap="1" wp14:anchorId="69E5D88A" wp14:editId="31B114CE">
          <wp:simplePos x="0" y="0"/>
          <wp:positionH relativeFrom="page">
            <wp:posOffset>4176395</wp:posOffset>
          </wp:positionH>
          <wp:positionV relativeFrom="page">
            <wp:posOffset>309245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32D"/>
    <w:multiLevelType w:val="hybridMultilevel"/>
    <w:tmpl w:val="C798A4FE"/>
    <w:lvl w:ilvl="0" w:tplc="650E27AE">
      <w:start w:val="28"/>
      <w:numFmt w:val="bullet"/>
      <w:lvlText w:val="–"/>
      <w:lvlJc w:val="left"/>
      <w:pPr>
        <w:ind w:left="1068" w:hanging="360"/>
      </w:pPr>
      <w:rPr>
        <w:rFonts w:ascii="Arial" w:eastAsia="Arial Unicode MS" w:hAnsi="Arial" w:cs="Arial" w:hint="default"/>
        <w:color w:val="4D5156"/>
        <w:sz w:val="21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767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07"/>
    <w:rsid w:val="0000350D"/>
    <w:rsid w:val="00004C27"/>
    <w:rsid w:val="00006EF5"/>
    <w:rsid w:val="0001210B"/>
    <w:rsid w:val="0001239E"/>
    <w:rsid w:val="00013EB0"/>
    <w:rsid w:val="00015A02"/>
    <w:rsid w:val="00016A19"/>
    <w:rsid w:val="00022F84"/>
    <w:rsid w:val="00030A1F"/>
    <w:rsid w:val="00035158"/>
    <w:rsid w:val="00041120"/>
    <w:rsid w:val="00044987"/>
    <w:rsid w:val="00060E3D"/>
    <w:rsid w:val="00065BB4"/>
    <w:rsid w:val="000666F8"/>
    <w:rsid w:val="00070F21"/>
    <w:rsid w:val="000715C9"/>
    <w:rsid w:val="00073BBC"/>
    <w:rsid w:val="00085CED"/>
    <w:rsid w:val="000929FC"/>
    <w:rsid w:val="00093132"/>
    <w:rsid w:val="0009539A"/>
    <w:rsid w:val="000A49BD"/>
    <w:rsid w:val="000A646C"/>
    <w:rsid w:val="000B3681"/>
    <w:rsid w:val="000B49E8"/>
    <w:rsid w:val="000B5593"/>
    <w:rsid w:val="000B57C1"/>
    <w:rsid w:val="000B58C0"/>
    <w:rsid w:val="000B608E"/>
    <w:rsid w:val="000C1501"/>
    <w:rsid w:val="000C2AEB"/>
    <w:rsid w:val="000C42CC"/>
    <w:rsid w:val="000C76EC"/>
    <w:rsid w:val="000C7BFB"/>
    <w:rsid w:val="000D5F7E"/>
    <w:rsid w:val="000E025C"/>
    <w:rsid w:val="000E0BFB"/>
    <w:rsid w:val="000E1C78"/>
    <w:rsid w:val="000E225F"/>
    <w:rsid w:val="000F1B5B"/>
    <w:rsid w:val="000F3004"/>
    <w:rsid w:val="000F4499"/>
    <w:rsid w:val="000F70C1"/>
    <w:rsid w:val="00103F98"/>
    <w:rsid w:val="001101FC"/>
    <w:rsid w:val="00117FE0"/>
    <w:rsid w:val="00120023"/>
    <w:rsid w:val="00122CA8"/>
    <w:rsid w:val="00127265"/>
    <w:rsid w:val="00127D4A"/>
    <w:rsid w:val="00136AE7"/>
    <w:rsid w:val="001400DC"/>
    <w:rsid w:val="00144D75"/>
    <w:rsid w:val="00146449"/>
    <w:rsid w:val="00151EC8"/>
    <w:rsid w:val="00151F1A"/>
    <w:rsid w:val="001542D5"/>
    <w:rsid w:val="00155CBF"/>
    <w:rsid w:val="00155D41"/>
    <w:rsid w:val="0016117C"/>
    <w:rsid w:val="00172406"/>
    <w:rsid w:val="0017433F"/>
    <w:rsid w:val="001772D3"/>
    <w:rsid w:val="0018037D"/>
    <w:rsid w:val="00184810"/>
    <w:rsid w:val="00194090"/>
    <w:rsid w:val="00194484"/>
    <w:rsid w:val="0019667C"/>
    <w:rsid w:val="001A0BC8"/>
    <w:rsid w:val="001A1624"/>
    <w:rsid w:val="001A17C4"/>
    <w:rsid w:val="001A1AEB"/>
    <w:rsid w:val="001B1008"/>
    <w:rsid w:val="001B13BB"/>
    <w:rsid w:val="001B4352"/>
    <w:rsid w:val="001B5803"/>
    <w:rsid w:val="001B61CA"/>
    <w:rsid w:val="001C006C"/>
    <w:rsid w:val="001C3189"/>
    <w:rsid w:val="001C653D"/>
    <w:rsid w:val="001D2786"/>
    <w:rsid w:val="001D2861"/>
    <w:rsid w:val="001D5B2D"/>
    <w:rsid w:val="001E18B0"/>
    <w:rsid w:val="001E1DAA"/>
    <w:rsid w:val="001E5B9E"/>
    <w:rsid w:val="001E60D1"/>
    <w:rsid w:val="001F1593"/>
    <w:rsid w:val="001F5F22"/>
    <w:rsid w:val="001F7FBA"/>
    <w:rsid w:val="002051AA"/>
    <w:rsid w:val="00207605"/>
    <w:rsid w:val="002077F8"/>
    <w:rsid w:val="0020780B"/>
    <w:rsid w:val="002079BD"/>
    <w:rsid w:val="00212403"/>
    <w:rsid w:val="00220F64"/>
    <w:rsid w:val="002212B8"/>
    <w:rsid w:val="0022181C"/>
    <w:rsid w:val="00232970"/>
    <w:rsid w:val="002361D1"/>
    <w:rsid w:val="0024400D"/>
    <w:rsid w:val="00246C76"/>
    <w:rsid w:val="00250816"/>
    <w:rsid w:val="002573C8"/>
    <w:rsid w:val="0026287B"/>
    <w:rsid w:val="00266CE4"/>
    <w:rsid w:val="00267C32"/>
    <w:rsid w:val="002708AE"/>
    <w:rsid w:val="00270B45"/>
    <w:rsid w:val="00270E4C"/>
    <w:rsid w:val="00272E9A"/>
    <w:rsid w:val="0027349F"/>
    <w:rsid w:val="00275D96"/>
    <w:rsid w:val="00280073"/>
    <w:rsid w:val="00285E28"/>
    <w:rsid w:val="00286B54"/>
    <w:rsid w:val="00293FDC"/>
    <w:rsid w:val="002A1860"/>
    <w:rsid w:val="002B4117"/>
    <w:rsid w:val="002B4AF9"/>
    <w:rsid w:val="002B57F5"/>
    <w:rsid w:val="002B660E"/>
    <w:rsid w:val="002C05F7"/>
    <w:rsid w:val="002C0D82"/>
    <w:rsid w:val="002C0F9F"/>
    <w:rsid w:val="002D6176"/>
    <w:rsid w:val="002E0C2C"/>
    <w:rsid w:val="002F08F0"/>
    <w:rsid w:val="002F5EBC"/>
    <w:rsid w:val="002F6414"/>
    <w:rsid w:val="002F6DD5"/>
    <w:rsid w:val="003005CA"/>
    <w:rsid w:val="00301324"/>
    <w:rsid w:val="00304822"/>
    <w:rsid w:val="003113C6"/>
    <w:rsid w:val="00311F30"/>
    <w:rsid w:val="003172A0"/>
    <w:rsid w:val="003206B0"/>
    <w:rsid w:val="00321D81"/>
    <w:rsid w:val="00327BCF"/>
    <w:rsid w:val="003314B5"/>
    <w:rsid w:val="00335033"/>
    <w:rsid w:val="00337E71"/>
    <w:rsid w:val="00347B7F"/>
    <w:rsid w:val="00356C61"/>
    <w:rsid w:val="003672F6"/>
    <w:rsid w:val="00374F94"/>
    <w:rsid w:val="00377CBF"/>
    <w:rsid w:val="00383F63"/>
    <w:rsid w:val="00390C20"/>
    <w:rsid w:val="003A2B5A"/>
    <w:rsid w:val="003A2E70"/>
    <w:rsid w:val="003A559D"/>
    <w:rsid w:val="003A55DC"/>
    <w:rsid w:val="003B0E60"/>
    <w:rsid w:val="003B1795"/>
    <w:rsid w:val="003B5B4F"/>
    <w:rsid w:val="003B5CFB"/>
    <w:rsid w:val="003B7362"/>
    <w:rsid w:val="003B7AF8"/>
    <w:rsid w:val="003C1837"/>
    <w:rsid w:val="003D045B"/>
    <w:rsid w:val="003D0BDD"/>
    <w:rsid w:val="003D1373"/>
    <w:rsid w:val="003D282F"/>
    <w:rsid w:val="003D423C"/>
    <w:rsid w:val="003E3B89"/>
    <w:rsid w:val="003E507D"/>
    <w:rsid w:val="003F473A"/>
    <w:rsid w:val="003F60AF"/>
    <w:rsid w:val="004017C6"/>
    <w:rsid w:val="00403EBF"/>
    <w:rsid w:val="004077EB"/>
    <w:rsid w:val="004236D3"/>
    <w:rsid w:val="00437B37"/>
    <w:rsid w:val="00442365"/>
    <w:rsid w:val="0044312C"/>
    <w:rsid w:val="00451AA3"/>
    <w:rsid w:val="00454E1D"/>
    <w:rsid w:val="00457E27"/>
    <w:rsid w:val="004608CB"/>
    <w:rsid w:val="00460C06"/>
    <w:rsid w:val="00460CAE"/>
    <w:rsid w:val="0046249B"/>
    <w:rsid w:val="004639A0"/>
    <w:rsid w:val="00464C51"/>
    <w:rsid w:val="00464E83"/>
    <w:rsid w:val="0047076D"/>
    <w:rsid w:val="00471369"/>
    <w:rsid w:val="00472026"/>
    <w:rsid w:val="00472081"/>
    <w:rsid w:val="004759C4"/>
    <w:rsid w:val="00476126"/>
    <w:rsid w:val="0047617E"/>
    <w:rsid w:val="00480DB6"/>
    <w:rsid w:val="0048575D"/>
    <w:rsid w:val="00486B7B"/>
    <w:rsid w:val="00491616"/>
    <w:rsid w:val="00492E2D"/>
    <w:rsid w:val="0049493D"/>
    <w:rsid w:val="004A1085"/>
    <w:rsid w:val="004A44A7"/>
    <w:rsid w:val="004A674D"/>
    <w:rsid w:val="004A6B57"/>
    <w:rsid w:val="004A771E"/>
    <w:rsid w:val="004B0B83"/>
    <w:rsid w:val="004B0DAE"/>
    <w:rsid w:val="004C46B5"/>
    <w:rsid w:val="004C4EAD"/>
    <w:rsid w:val="004C6567"/>
    <w:rsid w:val="004D6655"/>
    <w:rsid w:val="004E091C"/>
    <w:rsid w:val="004F48CE"/>
    <w:rsid w:val="00500234"/>
    <w:rsid w:val="00505AEE"/>
    <w:rsid w:val="00506725"/>
    <w:rsid w:val="0050683E"/>
    <w:rsid w:val="00507745"/>
    <w:rsid w:val="00511E9D"/>
    <w:rsid w:val="005138DC"/>
    <w:rsid w:val="0052487A"/>
    <w:rsid w:val="00532E13"/>
    <w:rsid w:val="005379D4"/>
    <w:rsid w:val="005406AB"/>
    <w:rsid w:val="00540976"/>
    <w:rsid w:val="005432B3"/>
    <w:rsid w:val="005449C3"/>
    <w:rsid w:val="00546714"/>
    <w:rsid w:val="00554E2B"/>
    <w:rsid w:val="00556ECD"/>
    <w:rsid w:val="00557570"/>
    <w:rsid w:val="005576BD"/>
    <w:rsid w:val="005620D4"/>
    <w:rsid w:val="00564012"/>
    <w:rsid w:val="00574E75"/>
    <w:rsid w:val="00575EC8"/>
    <w:rsid w:val="00586590"/>
    <w:rsid w:val="00591098"/>
    <w:rsid w:val="00594BCA"/>
    <w:rsid w:val="00595CF6"/>
    <w:rsid w:val="00596476"/>
    <w:rsid w:val="005A0ED9"/>
    <w:rsid w:val="005A31D8"/>
    <w:rsid w:val="005A71B3"/>
    <w:rsid w:val="005B5828"/>
    <w:rsid w:val="005B6211"/>
    <w:rsid w:val="005C4983"/>
    <w:rsid w:val="005C7424"/>
    <w:rsid w:val="005D435C"/>
    <w:rsid w:val="005D5033"/>
    <w:rsid w:val="005F1EBE"/>
    <w:rsid w:val="005F25B7"/>
    <w:rsid w:val="005F6FAE"/>
    <w:rsid w:val="00601AF6"/>
    <w:rsid w:val="00601F6E"/>
    <w:rsid w:val="00606242"/>
    <w:rsid w:val="00606A74"/>
    <w:rsid w:val="0061544C"/>
    <w:rsid w:val="00615E74"/>
    <w:rsid w:val="00616BFC"/>
    <w:rsid w:val="00617E7E"/>
    <w:rsid w:val="00621761"/>
    <w:rsid w:val="00624373"/>
    <w:rsid w:val="00626772"/>
    <w:rsid w:val="0063186C"/>
    <w:rsid w:val="0063325E"/>
    <w:rsid w:val="00645D70"/>
    <w:rsid w:val="00650837"/>
    <w:rsid w:val="006575E7"/>
    <w:rsid w:val="00661A5D"/>
    <w:rsid w:val="0066395C"/>
    <w:rsid w:val="006641D6"/>
    <w:rsid w:val="006643FE"/>
    <w:rsid w:val="00672558"/>
    <w:rsid w:val="00677BB5"/>
    <w:rsid w:val="00680303"/>
    <w:rsid w:val="006844DB"/>
    <w:rsid w:val="00686CED"/>
    <w:rsid w:val="00687EB6"/>
    <w:rsid w:val="00696195"/>
    <w:rsid w:val="006A3EBC"/>
    <w:rsid w:val="006A5330"/>
    <w:rsid w:val="006A535A"/>
    <w:rsid w:val="006B0076"/>
    <w:rsid w:val="006B2B6F"/>
    <w:rsid w:val="006C28D6"/>
    <w:rsid w:val="006C2C00"/>
    <w:rsid w:val="006C582E"/>
    <w:rsid w:val="006D0016"/>
    <w:rsid w:val="006D09B4"/>
    <w:rsid w:val="006D5858"/>
    <w:rsid w:val="006D5EEE"/>
    <w:rsid w:val="006E5AD2"/>
    <w:rsid w:val="006F32B5"/>
    <w:rsid w:val="006F4297"/>
    <w:rsid w:val="00700D17"/>
    <w:rsid w:val="00700D80"/>
    <w:rsid w:val="00705F78"/>
    <w:rsid w:val="00706CFE"/>
    <w:rsid w:val="00711FCC"/>
    <w:rsid w:val="00712C07"/>
    <w:rsid w:val="00713A78"/>
    <w:rsid w:val="007153C8"/>
    <w:rsid w:val="00716646"/>
    <w:rsid w:val="00720B4C"/>
    <w:rsid w:val="00722C0A"/>
    <w:rsid w:val="007245BE"/>
    <w:rsid w:val="007306F7"/>
    <w:rsid w:val="00735DE6"/>
    <w:rsid w:val="00735E12"/>
    <w:rsid w:val="007518CB"/>
    <w:rsid w:val="00751F19"/>
    <w:rsid w:val="0075375A"/>
    <w:rsid w:val="007611C5"/>
    <w:rsid w:val="00762467"/>
    <w:rsid w:val="00766F73"/>
    <w:rsid w:val="007725B7"/>
    <w:rsid w:val="00774669"/>
    <w:rsid w:val="0077532B"/>
    <w:rsid w:val="007777F2"/>
    <w:rsid w:val="007819A7"/>
    <w:rsid w:val="00781B54"/>
    <w:rsid w:val="00782973"/>
    <w:rsid w:val="0078405F"/>
    <w:rsid w:val="0078783A"/>
    <w:rsid w:val="00793057"/>
    <w:rsid w:val="00795C56"/>
    <w:rsid w:val="00797FEF"/>
    <w:rsid w:val="007A4857"/>
    <w:rsid w:val="007A4FE9"/>
    <w:rsid w:val="007A77BF"/>
    <w:rsid w:val="007A7B0D"/>
    <w:rsid w:val="007B178E"/>
    <w:rsid w:val="007C1503"/>
    <w:rsid w:val="007C4416"/>
    <w:rsid w:val="007C45A5"/>
    <w:rsid w:val="007E4252"/>
    <w:rsid w:val="007E6C43"/>
    <w:rsid w:val="007F2DC7"/>
    <w:rsid w:val="008100BF"/>
    <w:rsid w:val="00814848"/>
    <w:rsid w:val="00815C97"/>
    <w:rsid w:val="00817145"/>
    <w:rsid w:val="00824EB8"/>
    <w:rsid w:val="00826420"/>
    <w:rsid w:val="00826967"/>
    <w:rsid w:val="00830305"/>
    <w:rsid w:val="00833F0F"/>
    <w:rsid w:val="00834A2F"/>
    <w:rsid w:val="00842C0B"/>
    <w:rsid w:val="00852792"/>
    <w:rsid w:val="00873193"/>
    <w:rsid w:val="00873D51"/>
    <w:rsid w:val="00874DD1"/>
    <w:rsid w:val="008817F3"/>
    <w:rsid w:val="008820CD"/>
    <w:rsid w:val="00883D27"/>
    <w:rsid w:val="00884104"/>
    <w:rsid w:val="00887270"/>
    <w:rsid w:val="00891BAD"/>
    <w:rsid w:val="00896ADF"/>
    <w:rsid w:val="008A0863"/>
    <w:rsid w:val="008A62B9"/>
    <w:rsid w:val="008B5A35"/>
    <w:rsid w:val="008B7DF0"/>
    <w:rsid w:val="008C3A73"/>
    <w:rsid w:val="008C47EE"/>
    <w:rsid w:val="008D449D"/>
    <w:rsid w:val="008E3BCB"/>
    <w:rsid w:val="008E6EAF"/>
    <w:rsid w:val="008E7C1D"/>
    <w:rsid w:val="008F089F"/>
    <w:rsid w:val="008F4CCB"/>
    <w:rsid w:val="009042A3"/>
    <w:rsid w:val="00915A28"/>
    <w:rsid w:val="00916E0C"/>
    <w:rsid w:val="00921AF9"/>
    <w:rsid w:val="00922F99"/>
    <w:rsid w:val="00927EEF"/>
    <w:rsid w:val="00932AA2"/>
    <w:rsid w:val="00942FAA"/>
    <w:rsid w:val="00953533"/>
    <w:rsid w:val="009549AC"/>
    <w:rsid w:val="009563BA"/>
    <w:rsid w:val="00966551"/>
    <w:rsid w:val="00980830"/>
    <w:rsid w:val="00982937"/>
    <w:rsid w:val="0098328C"/>
    <w:rsid w:val="00984E36"/>
    <w:rsid w:val="0098546E"/>
    <w:rsid w:val="00991EAF"/>
    <w:rsid w:val="009928E9"/>
    <w:rsid w:val="009A2C4B"/>
    <w:rsid w:val="009B36F1"/>
    <w:rsid w:val="009B5E43"/>
    <w:rsid w:val="009B7AB8"/>
    <w:rsid w:val="009C35F9"/>
    <w:rsid w:val="009C44EF"/>
    <w:rsid w:val="009D18DB"/>
    <w:rsid w:val="009D5485"/>
    <w:rsid w:val="009E2FE7"/>
    <w:rsid w:val="009E5FE7"/>
    <w:rsid w:val="009F3007"/>
    <w:rsid w:val="009F3384"/>
    <w:rsid w:val="009F6353"/>
    <w:rsid w:val="009F740A"/>
    <w:rsid w:val="00A0059F"/>
    <w:rsid w:val="00A01556"/>
    <w:rsid w:val="00A02168"/>
    <w:rsid w:val="00A02BF3"/>
    <w:rsid w:val="00A050A3"/>
    <w:rsid w:val="00A055AB"/>
    <w:rsid w:val="00A10EA1"/>
    <w:rsid w:val="00A1224E"/>
    <w:rsid w:val="00A210F2"/>
    <w:rsid w:val="00A222E6"/>
    <w:rsid w:val="00A27C11"/>
    <w:rsid w:val="00A423F6"/>
    <w:rsid w:val="00A55373"/>
    <w:rsid w:val="00A556BF"/>
    <w:rsid w:val="00A562F8"/>
    <w:rsid w:val="00A65F1E"/>
    <w:rsid w:val="00A7392C"/>
    <w:rsid w:val="00A73B09"/>
    <w:rsid w:val="00A75FEB"/>
    <w:rsid w:val="00A764E6"/>
    <w:rsid w:val="00A81DEA"/>
    <w:rsid w:val="00A830F7"/>
    <w:rsid w:val="00A840B4"/>
    <w:rsid w:val="00A85195"/>
    <w:rsid w:val="00A94874"/>
    <w:rsid w:val="00A94995"/>
    <w:rsid w:val="00A9651F"/>
    <w:rsid w:val="00AB5103"/>
    <w:rsid w:val="00AC4A50"/>
    <w:rsid w:val="00AC585C"/>
    <w:rsid w:val="00AD1AE3"/>
    <w:rsid w:val="00AD1F2F"/>
    <w:rsid w:val="00AD22BD"/>
    <w:rsid w:val="00AD6E26"/>
    <w:rsid w:val="00AE07B3"/>
    <w:rsid w:val="00AE3B4E"/>
    <w:rsid w:val="00AE5F72"/>
    <w:rsid w:val="00AF2A2B"/>
    <w:rsid w:val="00AF33B8"/>
    <w:rsid w:val="00AF7038"/>
    <w:rsid w:val="00B017A2"/>
    <w:rsid w:val="00B02F21"/>
    <w:rsid w:val="00B04461"/>
    <w:rsid w:val="00B10625"/>
    <w:rsid w:val="00B167CE"/>
    <w:rsid w:val="00B17D0E"/>
    <w:rsid w:val="00B240FD"/>
    <w:rsid w:val="00B2642C"/>
    <w:rsid w:val="00B26D6C"/>
    <w:rsid w:val="00B27867"/>
    <w:rsid w:val="00B312D3"/>
    <w:rsid w:val="00B31A26"/>
    <w:rsid w:val="00B32AD5"/>
    <w:rsid w:val="00B33BAE"/>
    <w:rsid w:val="00B33FE2"/>
    <w:rsid w:val="00B352B4"/>
    <w:rsid w:val="00B37379"/>
    <w:rsid w:val="00B42655"/>
    <w:rsid w:val="00B45327"/>
    <w:rsid w:val="00B46F5A"/>
    <w:rsid w:val="00B47318"/>
    <w:rsid w:val="00B54212"/>
    <w:rsid w:val="00B56ACC"/>
    <w:rsid w:val="00B60AB3"/>
    <w:rsid w:val="00B61426"/>
    <w:rsid w:val="00B75014"/>
    <w:rsid w:val="00B75218"/>
    <w:rsid w:val="00B833C5"/>
    <w:rsid w:val="00B9617D"/>
    <w:rsid w:val="00B970BD"/>
    <w:rsid w:val="00BA0870"/>
    <w:rsid w:val="00BB3BE4"/>
    <w:rsid w:val="00BB63F7"/>
    <w:rsid w:val="00BB71DD"/>
    <w:rsid w:val="00BC4D40"/>
    <w:rsid w:val="00BC734F"/>
    <w:rsid w:val="00BD3E32"/>
    <w:rsid w:val="00BD4548"/>
    <w:rsid w:val="00BD734E"/>
    <w:rsid w:val="00BE6205"/>
    <w:rsid w:val="00BF13BF"/>
    <w:rsid w:val="00BF1D35"/>
    <w:rsid w:val="00BF6CA5"/>
    <w:rsid w:val="00C01713"/>
    <w:rsid w:val="00C03164"/>
    <w:rsid w:val="00C0327F"/>
    <w:rsid w:val="00C04A83"/>
    <w:rsid w:val="00C04FDF"/>
    <w:rsid w:val="00C05901"/>
    <w:rsid w:val="00C10914"/>
    <w:rsid w:val="00C130F4"/>
    <w:rsid w:val="00C151FC"/>
    <w:rsid w:val="00C1520B"/>
    <w:rsid w:val="00C16B5B"/>
    <w:rsid w:val="00C20D49"/>
    <w:rsid w:val="00C211FB"/>
    <w:rsid w:val="00C22652"/>
    <w:rsid w:val="00C320C8"/>
    <w:rsid w:val="00C328F9"/>
    <w:rsid w:val="00C32BC3"/>
    <w:rsid w:val="00C351D7"/>
    <w:rsid w:val="00C36D29"/>
    <w:rsid w:val="00C62CCD"/>
    <w:rsid w:val="00C646CF"/>
    <w:rsid w:val="00C7132E"/>
    <w:rsid w:val="00C71C42"/>
    <w:rsid w:val="00C72653"/>
    <w:rsid w:val="00C7406C"/>
    <w:rsid w:val="00C752B2"/>
    <w:rsid w:val="00C76FB7"/>
    <w:rsid w:val="00C80C2D"/>
    <w:rsid w:val="00C8309B"/>
    <w:rsid w:val="00C85E8A"/>
    <w:rsid w:val="00C86BF5"/>
    <w:rsid w:val="00C9231A"/>
    <w:rsid w:val="00C94DD2"/>
    <w:rsid w:val="00CA30E9"/>
    <w:rsid w:val="00CA4A62"/>
    <w:rsid w:val="00CA67A6"/>
    <w:rsid w:val="00CA7922"/>
    <w:rsid w:val="00CA7BD1"/>
    <w:rsid w:val="00CB0C91"/>
    <w:rsid w:val="00CB33DE"/>
    <w:rsid w:val="00CC0808"/>
    <w:rsid w:val="00CC74E8"/>
    <w:rsid w:val="00CC7F27"/>
    <w:rsid w:val="00CD11F0"/>
    <w:rsid w:val="00CD1C66"/>
    <w:rsid w:val="00CD330C"/>
    <w:rsid w:val="00CE05B4"/>
    <w:rsid w:val="00CE140A"/>
    <w:rsid w:val="00CF1B7A"/>
    <w:rsid w:val="00CF6890"/>
    <w:rsid w:val="00CF6D72"/>
    <w:rsid w:val="00D01B37"/>
    <w:rsid w:val="00D02BEF"/>
    <w:rsid w:val="00D03300"/>
    <w:rsid w:val="00D10D3F"/>
    <w:rsid w:val="00D1119D"/>
    <w:rsid w:val="00D112E8"/>
    <w:rsid w:val="00D12C62"/>
    <w:rsid w:val="00D15902"/>
    <w:rsid w:val="00D218B5"/>
    <w:rsid w:val="00D21931"/>
    <w:rsid w:val="00D2482A"/>
    <w:rsid w:val="00D26A8B"/>
    <w:rsid w:val="00D272C3"/>
    <w:rsid w:val="00D3038C"/>
    <w:rsid w:val="00D43B51"/>
    <w:rsid w:val="00D43DAE"/>
    <w:rsid w:val="00D731A3"/>
    <w:rsid w:val="00D7770B"/>
    <w:rsid w:val="00D91553"/>
    <w:rsid w:val="00D95AAA"/>
    <w:rsid w:val="00DA03CD"/>
    <w:rsid w:val="00DA09CB"/>
    <w:rsid w:val="00DA1ACB"/>
    <w:rsid w:val="00DA3DD8"/>
    <w:rsid w:val="00DA5125"/>
    <w:rsid w:val="00DB10EC"/>
    <w:rsid w:val="00DB1237"/>
    <w:rsid w:val="00DB2C93"/>
    <w:rsid w:val="00DC05FD"/>
    <w:rsid w:val="00DC0FBF"/>
    <w:rsid w:val="00DC4D50"/>
    <w:rsid w:val="00DD1C22"/>
    <w:rsid w:val="00DD1E35"/>
    <w:rsid w:val="00DD5E68"/>
    <w:rsid w:val="00DE1F2F"/>
    <w:rsid w:val="00DE2049"/>
    <w:rsid w:val="00DE257A"/>
    <w:rsid w:val="00DE622C"/>
    <w:rsid w:val="00DE7B56"/>
    <w:rsid w:val="00DE7D08"/>
    <w:rsid w:val="00DF0109"/>
    <w:rsid w:val="00DF564A"/>
    <w:rsid w:val="00DF5978"/>
    <w:rsid w:val="00E00876"/>
    <w:rsid w:val="00E0089C"/>
    <w:rsid w:val="00E024BF"/>
    <w:rsid w:val="00E02EF4"/>
    <w:rsid w:val="00E03406"/>
    <w:rsid w:val="00E03954"/>
    <w:rsid w:val="00E0516D"/>
    <w:rsid w:val="00E06945"/>
    <w:rsid w:val="00E10588"/>
    <w:rsid w:val="00E23E3F"/>
    <w:rsid w:val="00E2447D"/>
    <w:rsid w:val="00E26D62"/>
    <w:rsid w:val="00E37383"/>
    <w:rsid w:val="00E3767D"/>
    <w:rsid w:val="00E37DD7"/>
    <w:rsid w:val="00E41F2F"/>
    <w:rsid w:val="00E42662"/>
    <w:rsid w:val="00E519E3"/>
    <w:rsid w:val="00E5414A"/>
    <w:rsid w:val="00E54FD6"/>
    <w:rsid w:val="00E562C3"/>
    <w:rsid w:val="00E618E1"/>
    <w:rsid w:val="00E66387"/>
    <w:rsid w:val="00E70FC8"/>
    <w:rsid w:val="00E74095"/>
    <w:rsid w:val="00E826BF"/>
    <w:rsid w:val="00E831A9"/>
    <w:rsid w:val="00E85801"/>
    <w:rsid w:val="00E87347"/>
    <w:rsid w:val="00E900B4"/>
    <w:rsid w:val="00E95372"/>
    <w:rsid w:val="00E9724F"/>
    <w:rsid w:val="00EA032F"/>
    <w:rsid w:val="00EA09B0"/>
    <w:rsid w:val="00EA1433"/>
    <w:rsid w:val="00EB40C4"/>
    <w:rsid w:val="00EB531C"/>
    <w:rsid w:val="00EC0075"/>
    <w:rsid w:val="00EC1603"/>
    <w:rsid w:val="00EC5BF5"/>
    <w:rsid w:val="00EC6ECE"/>
    <w:rsid w:val="00ED4582"/>
    <w:rsid w:val="00ED7CB7"/>
    <w:rsid w:val="00EE2130"/>
    <w:rsid w:val="00EE4C51"/>
    <w:rsid w:val="00EF0362"/>
    <w:rsid w:val="00EF22B9"/>
    <w:rsid w:val="00EF2CCC"/>
    <w:rsid w:val="00EF3F80"/>
    <w:rsid w:val="00EF58E8"/>
    <w:rsid w:val="00EF752F"/>
    <w:rsid w:val="00F017BA"/>
    <w:rsid w:val="00F029E2"/>
    <w:rsid w:val="00F031A7"/>
    <w:rsid w:val="00F03805"/>
    <w:rsid w:val="00F04EE2"/>
    <w:rsid w:val="00F07345"/>
    <w:rsid w:val="00F15B7F"/>
    <w:rsid w:val="00F25717"/>
    <w:rsid w:val="00F259FB"/>
    <w:rsid w:val="00F260AF"/>
    <w:rsid w:val="00F2680A"/>
    <w:rsid w:val="00F3223D"/>
    <w:rsid w:val="00F33C0A"/>
    <w:rsid w:val="00F3431E"/>
    <w:rsid w:val="00F353F1"/>
    <w:rsid w:val="00F405B6"/>
    <w:rsid w:val="00F41B35"/>
    <w:rsid w:val="00F42512"/>
    <w:rsid w:val="00F45627"/>
    <w:rsid w:val="00F507ED"/>
    <w:rsid w:val="00F62095"/>
    <w:rsid w:val="00F62B2F"/>
    <w:rsid w:val="00F658BD"/>
    <w:rsid w:val="00F71F4E"/>
    <w:rsid w:val="00F725BB"/>
    <w:rsid w:val="00F7742B"/>
    <w:rsid w:val="00F8120B"/>
    <w:rsid w:val="00F86A98"/>
    <w:rsid w:val="00F94BD4"/>
    <w:rsid w:val="00FA2527"/>
    <w:rsid w:val="00FA4779"/>
    <w:rsid w:val="00FB044A"/>
    <w:rsid w:val="00FB07D7"/>
    <w:rsid w:val="00FB46B8"/>
    <w:rsid w:val="00FB6451"/>
    <w:rsid w:val="00FC110E"/>
    <w:rsid w:val="00FD1283"/>
    <w:rsid w:val="00FE3F72"/>
    <w:rsid w:val="00FE4583"/>
    <w:rsid w:val="00FE5191"/>
    <w:rsid w:val="00FE6EA1"/>
    <w:rsid w:val="00FF3F57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59FC"/>
  <w15:chartTrackingRefBased/>
  <w15:docId w15:val="{4D7267AD-610E-DB48-8CB5-7D0E33F4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0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066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A">
    <w:name w:val="Brak A"/>
    <w:rsid w:val="009F3007"/>
    <w:rPr>
      <w:lang w:val="it-IT"/>
    </w:rPr>
  </w:style>
  <w:style w:type="paragraph" w:customStyle="1" w:styleId="Tre">
    <w:name w:val="Treść"/>
    <w:rsid w:val="009F30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20" w:lineRule="atLeast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Nagwek21">
    <w:name w:val="Nagłówek 21"/>
    <w:next w:val="Tre"/>
    <w:rsid w:val="009F300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kern w:val="0"/>
      <w:sz w:val="12"/>
      <w:szCs w:val="1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Normalny1">
    <w:name w:val="Normalny1"/>
    <w:rsid w:val="009F30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20" w:lineRule="atLeast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F3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007"/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3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007"/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paragraph" w:customStyle="1" w:styleId="TreA">
    <w:name w:val="Treść A"/>
    <w:rsid w:val="009F30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HeaderAddress">
    <w:name w:val="HeaderAddress"/>
    <w:qFormat/>
    <w:rsid w:val="009F300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Tahoma" w:hAnsi="Tahoma" w:cs="Tahoma"/>
      <w:color w:val="000000"/>
      <w:kern w:val="0"/>
      <w:sz w:val="16"/>
      <w:szCs w:val="16"/>
      <w:u w:color="000000"/>
      <w:bdr w:val="nil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F71F4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7270"/>
    <w:pPr>
      <w:ind w:left="720"/>
      <w:contextualSpacing/>
    </w:pPr>
  </w:style>
  <w:style w:type="character" w:customStyle="1" w:styleId="Brak">
    <w:name w:val="Brak"/>
    <w:rsid w:val="00A556BF"/>
  </w:style>
  <w:style w:type="character" w:customStyle="1" w:styleId="Hyperlink0">
    <w:name w:val="Hyperlink.0"/>
    <w:basedOn w:val="Brak"/>
    <w:rsid w:val="00A556BF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A556BF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nyWeb">
    <w:name w:val="Normal (Web)"/>
    <w:basedOn w:val="Normalny"/>
    <w:uiPriority w:val="99"/>
    <w:unhideWhenUsed/>
    <w:rsid w:val="00A556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39"/>
    <w:rsid w:val="00A5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6BF"/>
    <w:pPr>
      <w:autoSpaceDE w:val="0"/>
      <w:autoSpaceDN w:val="0"/>
      <w:adjustRightInd w:val="0"/>
    </w:pPr>
    <w:rPr>
      <w:rFonts w:ascii="Graphik Regular" w:hAnsi="Graphik Regular" w:cs="Graphik Regular"/>
      <w:color w:val="000000"/>
      <w:kern w:val="0"/>
    </w:rPr>
  </w:style>
  <w:style w:type="character" w:customStyle="1" w:styleId="normaltextrun">
    <w:name w:val="normaltextrun"/>
    <w:basedOn w:val="Domylnaczcionkaakapitu"/>
    <w:rsid w:val="008C47EE"/>
  </w:style>
  <w:style w:type="character" w:customStyle="1" w:styleId="eop">
    <w:name w:val="eop"/>
    <w:basedOn w:val="Domylnaczcionkaakapitu"/>
    <w:rsid w:val="008C47EE"/>
  </w:style>
  <w:style w:type="paragraph" w:styleId="Tekstdymka">
    <w:name w:val="Balloon Text"/>
    <w:basedOn w:val="Normalny"/>
    <w:link w:val="TekstdymkaZnak"/>
    <w:uiPriority w:val="99"/>
    <w:semiHidden/>
    <w:unhideWhenUsed/>
    <w:rsid w:val="00CB0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91"/>
    <w:rPr>
      <w:rFonts w:ascii="Segoe UI" w:eastAsia="Arial Unicode MS" w:hAnsi="Segoe UI" w:cs="Segoe UI"/>
      <w:kern w:val="0"/>
      <w:sz w:val="18"/>
      <w:szCs w:val="18"/>
      <w:bdr w:val="nil"/>
      <w:lang w:val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666F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AHAVA PR</dc:creator>
  <cp:keywords/>
  <dc:description/>
  <cp:lastModifiedBy>Łukasz Komuda</cp:lastModifiedBy>
  <cp:revision>448</cp:revision>
  <dcterms:created xsi:type="dcterms:W3CDTF">2023-12-18T10:59:00Z</dcterms:created>
  <dcterms:modified xsi:type="dcterms:W3CDTF">2024-01-13T09:54:00Z</dcterms:modified>
</cp:coreProperties>
</file>